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D90" w:rsidRPr="00CB4D8C" w:rsidRDefault="00CB4D8C">
      <w:pPr>
        <w:rPr>
          <w:rFonts w:ascii="Arial" w:hAnsi="Arial" w:cs="Arial"/>
          <w:b/>
          <w:sz w:val="28"/>
        </w:rPr>
      </w:pPr>
      <w:r w:rsidRPr="00CB4D8C">
        <w:rPr>
          <w:rFonts w:ascii="Arial" w:hAnsi="Arial" w:cs="Arial"/>
          <w:b/>
          <w:sz w:val="28"/>
        </w:rPr>
        <w:t>TRIBUNA ROJA – Órgano del MOIR</w:t>
      </w:r>
    </w:p>
    <w:p w:rsidR="00CB4D8C" w:rsidRPr="00CB4D8C" w:rsidRDefault="00CB4D8C">
      <w:pPr>
        <w:rPr>
          <w:rFonts w:ascii="Arial" w:hAnsi="Arial" w:cs="Arial"/>
          <w:sz w:val="28"/>
        </w:rPr>
      </w:pPr>
      <w:r w:rsidRPr="00CB4D8C">
        <w:rPr>
          <w:rFonts w:ascii="Arial" w:hAnsi="Arial" w:cs="Arial"/>
          <w:sz w:val="28"/>
        </w:rPr>
        <w:t>No. 1 de julio de 1971</w:t>
      </w:r>
    </w:p>
    <w:p w:rsidR="00CB4D8C" w:rsidRPr="00CB4D8C" w:rsidRDefault="00CB4D8C">
      <w:pPr>
        <w:rPr>
          <w:rFonts w:ascii="Arial" w:hAnsi="Arial" w:cs="Arial"/>
          <w:sz w:val="28"/>
        </w:rPr>
      </w:pPr>
    </w:p>
    <w:p w:rsidR="00CB4D8C" w:rsidRPr="00CB4D8C" w:rsidRDefault="00CB4D8C">
      <w:pPr>
        <w:rPr>
          <w:rFonts w:ascii="Arial" w:hAnsi="Arial" w:cs="Arial"/>
        </w:rPr>
      </w:pPr>
    </w:p>
    <w:p w:rsidR="00CB4D8C" w:rsidRPr="00CB4D8C" w:rsidRDefault="00CB4D8C" w:rsidP="00CB4D8C">
      <w:pPr>
        <w:spacing w:line="360" w:lineRule="auto"/>
        <w:rPr>
          <w:rFonts w:ascii="Arial" w:hAnsi="Arial" w:cs="Arial"/>
          <w:sz w:val="28"/>
          <w:szCs w:val="28"/>
        </w:rPr>
      </w:pPr>
      <w:r w:rsidRPr="00CB4D8C">
        <w:rPr>
          <w:rFonts w:ascii="Arial" w:hAnsi="Arial" w:cs="Arial"/>
          <w:i/>
          <w:iCs/>
          <w:sz w:val="28"/>
          <w:szCs w:val="28"/>
          <w:lang w:val="es-ES"/>
        </w:rPr>
        <w:t>“El Pacto Andino hace parte de la nueva política del imperialismo yanqui para consolidar su dominación neocolonial en el continente</w:t>
      </w:r>
      <w:r w:rsidRPr="00CB4D8C">
        <w:rPr>
          <w:rFonts w:ascii="Arial" w:hAnsi="Arial" w:cs="Arial"/>
          <w:b/>
          <w:bCs/>
          <w:i/>
          <w:iCs/>
          <w:sz w:val="28"/>
          <w:szCs w:val="28"/>
          <w:lang w:val="es-ES"/>
        </w:rPr>
        <w:t>, mediante los acuerdos de integración subregional que permitan la ampliación del mercado para los productos norteamericanos</w:t>
      </w:r>
      <w:r w:rsidRPr="00CB4D8C">
        <w:rPr>
          <w:rFonts w:ascii="Arial" w:hAnsi="Arial" w:cs="Arial"/>
          <w:i/>
          <w:iCs/>
          <w:sz w:val="28"/>
          <w:szCs w:val="28"/>
          <w:lang w:val="es-ES"/>
        </w:rPr>
        <w:t>, y condiciones más favorables para que los monopolios imperialistas aumenten la inversión en América Latina y la explotación de sus recursos naturales; todo esto con la doble ventaja de una mayor colaboración financiera y jurídica de los respectivos gobiernos títeres y de una aparente defensa de los intereses nacionales latinoamericanos”.</w:t>
      </w:r>
    </w:p>
    <w:p w:rsidR="00CB4D8C" w:rsidRDefault="00CB4D8C">
      <w:pPr>
        <w:rPr>
          <w:rFonts w:ascii="Arial" w:hAnsi="Arial" w:cs="Arial"/>
        </w:rPr>
      </w:pPr>
    </w:p>
    <w:p w:rsidR="00CB4D8C" w:rsidRDefault="00CB4D8C">
      <w:pPr>
        <w:rPr>
          <w:rFonts w:ascii="Arial" w:hAnsi="Arial" w:cs="Arial"/>
        </w:rPr>
      </w:pPr>
    </w:p>
    <w:p w:rsidR="00D94D1F" w:rsidRDefault="00D94D1F">
      <w:pPr>
        <w:rPr>
          <w:rFonts w:ascii="Arial" w:hAnsi="Arial" w:cs="Arial"/>
        </w:rPr>
      </w:pPr>
      <w:r>
        <w:rPr>
          <w:rFonts w:ascii="Arial" w:hAnsi="Arial" w:cs="Arial"/>
        </w:rPr>
        <w:br w:type="page"/>
      </w:r>
    </w:p>
    <w:p w:rsidR="00D94D1F" w:rsidRPr="00D94D1F" w:rsidRDefault="00D94D1F" w:rsidP="00D94D1F">
      <w:pPr>
        <w:jc w:val="center"/>
        <w:rPr>
          <w:rFonts w:ascii="Arial" w:hAnsi="Arial" w:cs="Arial"/>
          <w:b/>
          <w:sz w:val="32"/>
        </w:rPr>
      </w:pPr>
      <w:r w:rsidRPr="00D94D1F">
        <w:rPr>
          <w:rFonts w:ascii="Arial" w:hAnsi="Arial" w:cs="Arial"/>
          <w:b/>
          <w:sz w:val="32"/>
        </w:rPr>
        <w:lastRenderedPageBreak/>
        <w:t>MEDIDAS ESPECIALES AGRÍCOLAS</w:t>
      </w:r>
    </w:p>
    <w:p w:rsidR="00D94D1F" w:rsidRPr="00D94D1F" w:rsidRDefault="00D94D1F" w:rsidP="00D94D1F">
      <w:pPr>
        <w:rPr>
          <w:rFonts w:ascii="Arial" w:hAnsi="Arial" w:cs="Arial"/>
          <w:sz w:val="24"/>
        </w:rPr>
      </w:pPr>
    </w:p>
    <w:p w:rsidR="00D94D1F" w:rsidRPr="00D94D1F" w:rsidRDefault="00D94D1F" w:rsidP="00D94D1F">
      <w:pPr>
        <w:spacing w:line="360" w:lineRule="auto"/>
        <w:rPr>
          <w:rFonts w:ascii="Arial" w:hAnsi="Arial" w:cs="Arial"/>
          <w:sz w:val="24"/>
          <w:szCs w:val="24"/>
        </w:rPr>
      </w:pPr>
      <w:r w:rsidRPr="00D94D1F">
        <w:rPr>
          <w:rFonts w:ascii="Arial" w:hAnsi="Arial" w:cs="Arial"/>
          <w:sz w:val="24"/>
          <w:szCs w:val="24"/>
        </w:rPr>
        <w:t>-</w:t>
      </w:r>
      <w:r w:rsidRPr="00D94D1F">
        <w:rPr>
          <w:rFonts w:ascii="Arial" w:hAnsi="Arial" w:cs="Arial"/>
          <w:sz w:val="24"/>
          <w:szCs w:val="24"/>
        </w:rPr>
        <w:tab/>
      </w:r>
      <w:r w:rsidR="00E276F7">
        <w:rPr>
          <w:rFonts w:ascii="Arial" w:hAnsi="Arial" w:cs="Arial"/>
          <w:b/>
          <w:sz w:val="24"/>
          <w:szCs w:val="24"/>
        </w:rPr>
        <w:t>Aceites (</w:t>
      </w:r>
      <w:r w:rsidRPr="00D94D1F">
        <w:rPr>
          <w:rFonts w:ascii="Arial" w:hAnsi="Arial" w:cs="Arial"/>
          <w:b/>
          <w:sz w:val="24"/>
          <w:szCs w:val="24"/>
        </w:rPr>
        <w:t>Decreto en trámite de fir</w:t>
      </w:r>
      <w:r w:rsidRPr="00D94D1F">
        <w:rPr>
          <w:rFonts w:ascii="Arial" w:hAnsi="Arial" w:cs="Arial"/>
          <w:b/>
          <w:sz w:val="24"/>
          <w:szCs w:val="24"/>
        </w:rPr>
        <w:t>ma en Presidencia)-   Argentina</w:t>
      </w:r>
      <w:r w:rsidRPr="00D94D1F">
        <w:rPr>
          <w:rFonts w:ascii="Arial" w:hAnsi="Arial" w:cs="Arial"/>
          <w:sz w:val="24"/>
          <w:szCs w:val="24"/>
        </w:rPr>
        <w:t>:</w:t>
      </w:r>
    </w:p>
    <w:p w:rsidR="00D94D1F" w:rsidRPr="00D94D1F" w:rsidRDefault="00D94D1F" w:rsidP="00D94D1F">
      <w:pPr>
        <w:spacing w:line="360" w:lineRule="auto"/>
        <w:rPr>
          <w:rFonts w:ascii="Arial" w:hAnsi="Arial" w:cs="Arial"/>
          <w:sz w:val="24"/>
          <w:szCs w:val="24"/>
        </w:rPr>
      </w:pPr>
    </w:p>
    <w:p w:rsidR="00D94D1F" w:rsidRPr="00D94D1F" w:rsidRDefault="00D94D1F" w:rsidP="00D94D1F">
      <w:pPr>
        <w:spacing w:line="360" w:lineRule="auto"/>
        <w:rPr>
          <w:rFonts w:ascii="Arial" w:hAnsi="Arial" w:cs="Arial"/>
          <w:sz w:val="24"/>
          <w:szCs w:val="24"/>
        </w:rPr>
      </w:pPr>
      <w:r w:rsidRPr="00D94D1F">
        <w:rPr>
          <w:rFonts w:ascii="Arial" w:hAnsi="Arial" w:cs="Arial"/>
          <w:sz w:val="24"/>
          <w:szCs w:val="24"/>
        </w:rPr>
        <w:t xml:space="preserve">Por solicitud de ASOGRASAS, se determinó que en conjunto las importaciones originarias de  Argentina de aceites vegetales cumplen con los requisitos para la activación de las Medidas Especiales por volumen conforme al Artículo 4º literal a) del Anexo IX del Acuerdo CAN-MERCOSUR (ACE 59), ya que en los últimos 12 meses crecieron 23% respecto al promedio anual de los 36 meses anteriores. Así mismo, las importaciones de Argentina en los últimos 12 meses representaron el 36% del total de las importaciones en ese periodo de  aceites vegetales en conjunto. </w:t>
      </w:r>
    </w:p>
    <w:p w:rsidR="00D94D1F" w:rsidRPr="00D94D1F" w:rsidRDefault="00D94D1F" w:rsidP="00D94D1F">
      <w:pPr>
        <w:spacing w:line="360" w:lineRule="auto"/>
        <w:rPr>
          <w:rFonts w:ascii="Arial" w:hAnsi="Arial" w:cs="Arial"/>
          <w:sz w:val="24"/>
          <w:szCs w:val="24"/>
        </w:rPr>
      </w:pPr>
    </w:p>
    <w:p w:rsidR="00D94D1F" w:rsidRPr="00D94D1F" w:rsidRDefault="00D94D1F" w:rsidP="00D94D1F">
      <w:pPr>
        <w:spacing w:line="360" w:lineRule="auto"/>
        <w:rPr>
          <w:rFonts w:ascii="Arial" w:hAnsi="Arial" w:cs="Arial"/>
          <w:sz w:val="24"/>
          <w:szCs w:val="24"/>
        </w:rPr>
      </w:pPr>
      <w:r w:rsidRPr="00D94D1F">
        <w:rPr>
          <w:rFonts w:ascii="Arial" w:hAnsi="Arial" w:cs="Arial"/>
          <w:sz w:val="24"/>
          <w:szCs w:val="24"/>
        </w:rPr>
        <w:t>-</w:t>
      </w:r>
      <w:r w:rsidRPr="00D94D1F">
        <w:rPr>
          <w:rFonts w:ascii="Arial" w:hAnsi="Arial" w:cs="Arial"/>
          <w:sz w:val="24"/>
          <w:szCs w:val="24"/>
        </w:rPr>
        <w:tab/>
      </w:r>
      <w:r w:rsidRPr="00D94D1F">
        <w:rPr>
          <w:rFonts w:ascii="Arial" w:hAnsi="Arial" w:cs="Arial"/>
          <w:b/>
          <w:sz w:val="24"/>
          <w:szCs w:val="24"/>
        </w:rPr>
        <w:t>Leche en polvo -  (Decreto en trámite de firma en Presidencia) - Argentina:</w:t>
      </w:r>
    </w:p>
    <w:p w:rsidR="00D94D1F" w:rsidRPr="00D94D1F" w:rsidRDefault="00D94D1F" w:rsidP="00D94D1F">
      <w:pPr>
        <w:spacing w:line="360" w:lineRule="auto"/>
        <w:rPr>
          <w:rFonts w:ascii="Arial" w:hAnsi="Arial" w:cs="Arial"/>
          <w:sz w:val="24"/>
          <w:szCs w:val="24"/>
        </w:rPr>
      </w:pPr>
    </w:p>
    <w:p w:rsidR="00D94D1F" w:rsidRPr="00D94D1F" w:rsidRDefault="00D94D1F" w:rsidP="00D94D1F">
      <w:pPr>
        <w:spacing w:line="360" w:lineRule="auto"/>
        <w:rPr>
          <w:rFonts w:ascii="Arial" w:hAnsi="Arial" w:cs="Arial"/>
          <w:sz w:val="24"/>
          <w:szCs w:val="24"/>
        </w:rPr>
      </w:pPr>
      <w:r w:rsidRPr="00D94D1F">
        <w:rPr>
          <w:rFonts w:ascii="Arial" w:hAnsi="Arial" w:cs="Arial"/>
          <w:sz w:val="24"/>
          <w:szCs w:val="24"/>
        </w:rPr>
        <w:t>Solicitud del Ministerio de Agricultura y Desarrollo Rural: De conformidad con lo establecido en el artículo 4 a) del Anexo IX,(ACE 59),  se determinó que la participación de las importaciones originarias del país exportador (Argentina) superan el 20% del total de las importaciones en dicho período (últimos 12 meses), por cuanto representaron el 31% de las importaciones totales de la partida 0402.</w:t>
      </w:r>
    </w:p>
    <w:p w:rsidR="00D94D1F" w:rsidRPr="00D94D1F" w:rsidRDefault="00D94D1F" w:rsidP="00D94D1F">
      <w:pPr>
        <w:spacing w:line="360" w:lineRule="auto"/>
        <w:rPr>
          <w:rFonts w:ascii="Arial" w:hAnsi="Arial" w:cs="Arial"/>
          <w:sz w:val="24"/>
          <w:szCs w:val="24"/>
        </w:rPr>
      </w:pPr>
    </w:p>
    <w:p w:rsidR="00D94D1F" w:rsidRPr="00D94D1F" w:rsidRDefault="00D94D1F" w:rsidP="00D94D1F">
      <w:pPr>
        <w:spacing w:line="360" w:lineRule="auto"/>
        <w:rPr>
          <w:rFonts w:ascii="Arial" w:hAnsi="Arial" w:cs="Arial"/>
          <w:sz w:val="24"/>
          <w:szCs w:val="24"/>
        </w:rPr>
      </w:pPr>
      <w:r w:rsidRPr="00D94D1F">
        <w:rPr>
          <w:rFonts w:ascii="Arial" w:hAnsi="Arial" w:cs="Arial"/>
          <w:sz w:val="24"/>
          <w:szCs w:val="24"/>
        </w:rPr>
        <w:t>En este orden, el Comité AAA en sesión 252  del 21 de enero, consideró viable la aplicación de una  Medida Especial a las importaciones de leche en polvo originarias de Argentina correspondientes a la partida 0402, de manera provisional, y en consecuencia recomendó suspender por 90 días la aplicación del margen de preferencia para el contingente de 1957 toneladas, dado que cumplen con lo establecido en el artículo 4 a) del anexo IX del ACE 59 (Decreto 141 de 2005).</w:t>
      </w:r>
    </w:p>
    <w:p w:rsidR="00D94D1F" w:rsidRDefault="00D94D1F" w:rsidP="00D94D1F">
      <w:pPr>
        <w:spacing w:line="360" w:lineRule="auto"/>
        <w:rPr>
          <w:rFonts w:ascii="Arial" w:hAnsi="Arial" w:cs="Arial"/>
          <w:sz w:val="24"/>
          <w:szCs w:val="24"/>
        </w:rPr>
      </w:pPr>
    </w:p>
    <w:p w:rsidR="00D94D1F" w:rsidRPr="00D94D1F" w:rsidRDefault="00D94D1F" w:rsidP="00D94D1F">
      <w:pPr>
        <w:spacing w:line="360" w:lineRule="auto"/>
        <w:rPr>
          <w:rFonts w:ascii="Arial" w:hAnsi="Arial" w:cs="Arial"/>
          <w:sz w:val="24"/>
          <w:szCs w:val="24"/>
        </w:rPr>
      </w:pPr>
    </w:p>
    <w:p w:rsidR="00D94D1F" w:rsidRPr="00D94D1F" w:rsidRDefault="00D94D1F" w:rsidP="00D94D1F">
      <w:pPr>
        <w:spacing w:line="360" w:lineRule="auto"/>
        <w:rPr>
          <w:rFonts w:ascii="Arial" w:hAnsi="Arial" w:cs="Arial"/>
          <w:b/>
          <w:sz w:val="24"/>
          <w:szCs w:val="24"/>
        </w:rPr>
      </w:pPr>
      <w:r w:rsidRPr="00D94D1F">
        <w:rPr>
          <w:rFonts w:ascii="Arial" w:hAnsi="Arial" w:cs="Arial"/>
          <w:sz w:val="24"/>
          <w:szCs w:val="24"/>
        </w:rPr>
        <w:lastRenderedPageBreak/>
        <w:t>-</w:t>
      </w:r>
      <w:r w:rsidRPr="00D94D1F">
        <w:rPr>
          <w:rFonts w:ascii="Arial" w:hAnsi="Arial" w:cs="Arial"/>
          <w:sz w:val="24"/>
          <w:szCs w:val="24"/>
        </w:rPr>
        <w:tab/>
      </w:r>
      <w:r w:rsidRPr="00D94D1F">
        <w:rPr>
          <w:rFonts w:ascii="Arial" w:hAnsi="Arial" w:cs="Arial"/>
          <w:b/>
          <w:sz w:val="24"/>
          <w:szCs w:val="24"/>
        </w:rPr>
        <w:t>Aceites originarios de Brasil: (Pen</w:t>
      </w:r>
      <w:r w:rsidRPr="00D94D1F">
        <w:rPr>
          <w:rFonts w:ascii="Arial" w:hAnsi="Arial" w:cs="Arial"/>
          <w:b/>
          <w:sz w:val="24"/>
          <w:szCs w:val="24"/>
        </w:rPr>
        <w:t>diente presentación Comité AAA)</w:t>
      </w:r>
      <w:r w:rsidRPr="00D94D1F">
        <w:rPr>
          <w:rFonts w:ascii="Arial" w:hAnsi="Arial" w:cs="Arial"/>
          <w:b/>
          <w:sz w:val="24"/>
          <w:szCs w:val="24"/>
        </w:rPr>
        <w:t>:</w:t>
      </w:r>
    </w:p>
    <w:p w:rsidR="00D94D1F" w:rsidRPr="00D94D1F" w:rsidRDefault="00D94D1F" w:rsidP="00D94D1F">
      <w:pPr>
        <w:spacing w:line="360" w:lineRule="auto"/>
        <w:rPr>
          <w:rFonts w:ascii="Arial" w:hAnsi="Arial" w:cs="Arial"/>
          <w:sz w:val="24"/>
          <w:szCs w:val="24"/>
        </w:rPr>
      </w:pPr>
    </w:p>
    <w:p w:rsidR="00CB4D8C" w:rsidRPr="00D94D1F" w:rsidRDefault="00D94D1F" w:rsidP="00D94D1F">
      <w:pPr>
        <w:spacing w:line="360" w:lineRule="auto"/>
        <w:rPr>
          <w:rFonts w:ascii="Arial" w:hAnsi="Arial" w:cs="Arial"/>
          <w:sz w:val="24"/>
          <w:szCs w:val="24"/>
        </w:rPr>
      </w:pPr>
      <w:r w:rsidRPr="00D94D1F">
        <w:rPr>
          <w:rFonts w:ascii="Arial" w:hAnsi="Arial" w:cs="Arial"/>
          <w:sz w:val="24"/>
          <w:szCs w:val="24"/>
        </w:rPr>
        <w:t>Al igual que para el caso de Argentina, por solicitud de ASOGRASAS, se determinó que las importaciones provenientes de Brasil en los últimos 12 meses (4.505 toneladas) son superiores a las importaciones promedio anuales de los 36 meses anteriores a los 12 meses referidos (22 toneladas) en un 20.749%. En consecuencia, respecto de este producto se cumple con el primer elemento requerido para la activación de la medida especial por volumen, (A</w:t>
      </w:r>
      <w:r>
        <w:rPr>
          <w:rFonts w:ascii="Arial" w:hAnsi="Arial" w:cs="Arial"/>
          <w:sz w:val="24"/>
          <w:szCs w:val="24"/>
        </w:rPr>
        <w:t>rtículo 4 a) Anexo IX ACE 59).</w:t>
      </w:r>
      <w:r w:rsidR="00CB4D8C" w:rsidRPr="00D94D1F">
        <w:rPr>
          <w:rFonts w:ascii="Arial" w:hAnsi="Arial" w:cs="Arial"/>
          <w:sz w:val="24"/>
          <w:szCs w:val="24"/>
        </w:rPr>
        <w:br w:type="page"/>
      </w:r>
    </w:p>
    <w:p w:rsidR="00CB4D8C" w:rsidRPr="00D94D1F" w:rsidRDefault="00CB4D8C" w:rsidP="00D94D1F">
      <w:pPr>
        <w:jc w:val="center"/>
        <w:rPr>
          <w:rFonts w:ascii="Arial" w:hAnsi="Arial" w:cs="Arial"/>
          <w:b/>
          <w:sz w:val="32"/>
        </w:rPr>
      </w:pPr>
      <w:r w:rsidRPr="00D94D1F">
        <w:rPr>
          <w:rFonts w:ascii="Arial" w:hAnsi="Arial" w:cs="Arial"/>
          <w:b/>
          <w:sz w:val="32"/>
        </w:rPr>
        <w:lastRenderedPageBreak/>
        <w:t>SECTOR DE SERVICIOS (PTP)</w:t>
      </w:r>
    </w:p>
    <w:p w:rsidR="00CB4D8C" w:rsidRDefault="00CB4D8C">
      <w:pPr>
        <w:rPr>
          <w:rFonts w:ascii="Arial" w:hAnsi="Arial" w:cs="Arial"/>
          <w:sz w:val="24"/>
        </w:rPr>
      </w:pPr>
    </w:p>
    <w:p w:rsidR="00CB4D8C" w:rsidRDefault="00CB4D8C">
      <w:pPr>
        <w:rPr>
          <w:rFonts w:ascii="Arial" w:hAnsi="Arial" w:cs="Arial"/>
          <w:sz w:val="24"/>
        </w:rPr>
      </w:pPr>
    </w:p>
    <w:p w:rsidR="00CB4D8C" w:rsidRDefault="00CB4D8C" w:rsidP="00CB4D8C">
      <w:pPr>
        <w:spacing w:line="360" w:lineRule="auto"/>
        <w:rPr>
          <w:rFonts w:ascii="Arial" w:hAnsi="Arial" w:cs="Arial"/>
          <w:sz w:val="24"/>
        </w:rPr>
      </w:pPr>
      <w:r w:rsidRPr="00CB4D8C">
        <w:rPr>
          <w:rFonts w:ascii="Arial" w:hAnsi="Arial" w:cs="Arial"/>
          <w:sz w:val="24"/>
        </w:rPr>
        <w:t xml:space="preserve">-        El sector servicios que representa aproximadamente el 64% de la economía nacional tiene una alta demanda de capital humano idóneo y capacitado en temas por ejemplo de tecnología, de atención al cliente o de disciplinas específicas como los profesionales en la salud, contadores, ingenieros o abogados entre muchos otros.  El sector de servicios cubre amplias actividades de la economía por lo que se puede implementar tanto en empresas privadas como públicas. Por ejemplo en el sector salud se puede implementar para la unificación de bases de datos, unificación de historias clínicas, gestión de ocupación de camas, es decir hospitales y clínicas pagan a un proveedor la provisión de estos servicios. </w:t>
      </w:r>
    </w:p>
    <w:p w:rsidR="00CB4D8C" w:rsidRPr="00CB4D8C" w:rsidRDefault="00CB4D8C" w:rsidP="00CB4D8C">
      <w:pPr>
        <w:spacing w:line="360" w:lineRule="auto"/>
        <w:rPr>
          <w:rFonts w:ascii="Arial" w:hAnsi="Arial" w:cs="Arial"/>
          <w:sz w:val="24"/>
        </w:rPr>
      </w:pPr>
    </w:p>
    <w:p w:rsidR="00CB4D8C" w:rsidRPr="00CB4D8C" w:rsidRDefault="00CB4D8C" w:rsidP="00CB4D8C">
      <w:pPr>
        <w:spacing w:line="360" w:lineRule="auto"/>
        <w:rPr>
          <w:rFonts w:ascii="Arial" w:hAnsi="Arial" w:cs="Arial"/>
          <w:sz w:val="24"/>
        </w:rPr>
      </w:pPr>
      <w:r w:rsidRPr="00CB4D8C">
        <w:rPr>
          <w:rFonts w:ascii="Arial" w:hAnsi="Arial" w:cs="Arial"/>
          <w:sz w:val="24"/>
        </w:rPr>
        <w:t>-         Por otra parte la prestación de servicios requiere del fortalecimiento del capital humano y a través del PTP y otras entidades del Estado como el SENA o Min</w:t>
      </w:r>
      <w:r w:rsidRPr="00CB4D8C">
        <w:rPr>
          <w:rFonts w:ascii="Arial" w:hAnsi="Arial" w:cs="Arial"/>
          <w:sz w:val="24"/>
        </w:rPr>
        <w:t>TIC</w:t>
      </w:r>
      <w:r w:rsidRPr="00CB4D8C">
        <w:rPr>
          <w:rFonts w:ascii="Arial" w:hAnsi="Arial" w:cs="Arial"/>
          <w:sz w:val="24"/>
        </w:rPr>
        <w:t xml:space="preserve"> entre otros, se ha venido ofreciendo capacitación pertinente y acorde con los requerimientos del mercado que den mejores condiciones de competitividad a los diferentes sectores que prestan servicios como SW y TI, BPO o Turismo de Salud.</w:t>
      </w:r>
    </w:p>
    <w:p w:rsidR="00CB4D8C" w:rsidRDefault="00CB4D8C" w:rsidP="00CB4D8C">
      <w:pPr>
        <w:spacing w:line="360" w:lineRule="auto"/>
        <w:rPr>
          <w:rFonts w:ascii="Arial" w:hAnsi="Arial" w:cs="Arial"/>
          <w:sz w:val="24"/>
        </w:rPr>
      </w:pPr>
    </w:p>
    <w:p w:rsidR="00CB4D8C" w:rsidRPr="00CB4D8C" w:rsidRDefault="00CB4D8C" w:rsidP="00CB4D8C">
      <w:pPr>
        <w:spacing w:line="360" w:lineRule="auto"/>
        <w:rPr>
          <w:rFonts w:ascii="Arial" w:hAnsi="Arial" w:cs="Arial"/>
          <w:sz w:val="24"/>
        </w:rPr>
      </w:pPr>
      <w:r w:rsidRPr="00CB4D8C">
        <w:rPr>
          <w:rFonts w:ascii="Arial" w:hAnsi="Arial" w:cs="Arial"/>
          <w:sz w:val="24"/>
        </w:rPr>
        <w:t>-         Para dar solo un ejemplo el sector de SW y TI que es  intensivo en uso de Capital Humano genera aproximadamente 86.000 empleos, según el DANE.  Este sector debe desarrollar tecnología para que otros sectores de la economía tengan un mejor desempeño. Esto quiere decir que deben contar con la gente idónea para responder 7 días a la semana, 24 horas y 365 días al año de acuerdo con las necesidades de los usuarios, un ejemplo de esto es la intranet gubernamental.</w:t>
      </w:r>
    </w:p>
    <w:p w:rsidR="00CB4D8C" w:rsidRDefault="00CB4D8C" w:rsidP="00CB4D8C">
      <w:pPr>
        <w:spacing w:line="360" w:lineRule="auto"/>
        <w:rPr>
          <w:rFonts w:ascii="Arial" w:hAnsi="Arial" w:cs="Arial"/>
          <w:sz w:val="24"/>
        </w:rPr>
      </w:pPr>
    </w:p>
    <w:p w:rsidR="00CB4D8C" w:rsidRDefault="00CB4D8C" w:rsidP="00CB4D8C">
      <w:pPr>
        <w:spacing w:line="360" w:lineRule="auto"/>
        <w:rPr>
          <w:rFonts w:ascii="Arial" w:hAnsi="Arial" w:cs="Arial"/>
          <w:sz w:val="24"/>
        </w:rPr>
      </w:pPr>
      <w:r>
        <w:rPr>
          <w:rFonts w:ascii="Arial" w:hAnsi="Arial" w:cs="Arial"/>
          <w:sz w:val="24"/>
        </w:rPr>
        <w:t>-         AsÍ</w:t>
      </w:r>
      <w:r w:rsidRPr="00CB4D8C">
        <w:rPr>
          <w:rFonts w:ascii="Arial" w:hAnsi="Arial" w:cs="Arial"/>
          <w:sz w:val="24"/>
        </w:rPr>
        <w:t xml:space="preserve"> mismo, el sector de servicios demanda gran cantidad de mano de obra en sectores como el de tercerización de servicios de contact centers que en principio contrata personal para adelantar actividades que no tienen mayor valor agregado pero que les brinda la oportunidad de iniciar en el sector formal una carrera e ir especializando el personal en tareas más elaboradas que pasan de la </w:t>
      </w:r>
      <w:r w:rsidRPr="00CB4D8C">
        <w:rPr>
          <w:rFonts w:ascii="Arial" w:hAnsi="Arial" w:cs="Arial"/>
          <w:sz w:val="24"/>
        </w:rPr>
        <w:lastRenderedPageBreak/>
        <w:t>atención telefónica o servicio de voz a una etapa de análisis de toda la información recibida y un análisis más detallado de los clientes que son de interés de la empresa.</w:t>
      </w:r>
    </w:p>
    <w:p w:rsidR="00CB4D8C" w:rsidRPr="00CB4D8C" w:rsidRDefault="00CB4D8C" w:rsidP="00CB4D8C">
      <w:pPr>
        <w:spacing w:line="360" w:lineRule="auto"/>
        <w:rPr>
          <w:rFonts w:ascii="Arial" w:hAnsi="Arial" w:cs="Arial"/>
          <w:sz w:val="24"/>
        </w:rPr>
      </w:pPr>
    </w:p>
    <w:p w:rsidR="00CB4D8C" w:rsidRDefault="00CB4D8C" w:rsidP="00CB4D8C">
      <w:pPr>
        <w:spacing w:line="360" w:lineRule="auto"/>
        <w:rPr>
          <w:rFonts w:ascii="Arial" w:hAnsi="Arial" w:cs="Arial"/>
          <w:sz w:val="24"/>
        </w:rPr>
      </w:pPr>
      <w:r w:rsidRPr="00CB4D8C">
        <w:rPr>
          <w:rFonts w:ascii="Arial" w:hAnsi="Arial" w:cs="Arial"/>
          <w:sz w:val="24"/>
        </w:rPr>
        <w:t>-         También se puede implementar la tercerización de servicios para mejorar la competitividad de otros sectores en la medida en estos pueden concentrarse en su actividad misional mientras dejan actividades administrativas o transversales en manos de expertos como en los casos de la contabilidad o el manejo de la nómina de la empresa por mencionar solo dos ejemplos.</w:t>
      </w:r>
    </w:p>
    <w:p w:rsidR="00CB4D8C" w:rsidRPr="00CB4D8C" w:rsidRDefault="00CB4D8C" w:rsidP="00CB4D8C">
      <w:pPr>
        <w:spacing w:line="360" w:lineRule="auto"/>
        <w:rPr>
          <w:rFonts w:ascii="Arial" w:hAnsi="Arial" w:cs="Arial"/>
          <w:sz w:val="24"/>
        </w:rPr>
      </w:pPr>
    </w:p>
    <w:p w:rsidR="00CB4D8C" w:rsidRDefault="00CB4D8C" w:rsidP="00CB4D8C">
      <w:pPr>
        <w:spacing w:line="360" w:lineRule="auto"/>
        <w:rPr>
          <w:rFonts w:ascii="Arial" w:hAnsi="Arial" w:cs="Arial"/>
          <w:sz w:val="24"/>
        </w:rPr>
      </w:pPr>
      <w:r w:rsidRPr="00CB4D8C">
        <w:rPr>
          <w:rFonts w:ascii="Arial" w:hAnsi="Arial" w:cs="Arial"/>
          <w:sz w:val="24"/>
        </w:rPr>
        <w:t>-         El sector servicios también contempla la atención de pacientes que buscan procedimientos de alta calidad con precios competitivos en el mercado internacional.  Estos procedimientos que van desde los que se encargan de lo estético hasta aquellos en los que se involucran intervenciones de alta complejidad, incentivan la investigación y los avances científicos que han permitido a nuestro país mantenerse a la vanguardia de esta clase de procedimientos. Además de demandar capital humano altamente capacitado en tales procedimientos se ha convertido en una fuente de ingresos que en el año 2012 exportó 140 millones de dólares.</w:t>
      </w:r>
    </w:p>
    <w:p w:rsidR="00CB4D8C" w:rsidRPr="00CB4D8C" w:rsidRDefault="00CB4D8C" w:rsidP="00CB4D8C">
      <w:pPr>
        <w:spacing w:line="360" w:lineRule="auto"/>
        <w:rPr>
          <w:rFonts w:ascii="Arial" w:hAnsi="Arial" w:cs="Arial"/>
          <w:sz w:val="24"/>
        </w:rPr>
      </w:pPr>
    </w:p>
    <w:p w:rsidR="00CB4D8C" w:rsidRPr="00CB4D8C" w:rsidRDefault="00CB4D8C" w:rsidP="00CB4D8C">
      <w:pPr>
        <w:spacing w:line="360" w:lineRule="auto"/>
        <w:rPr>
          <w:rFonts w:ascii="Arial" w:hAnsi="Arial" w:cs="Arial"/>
          <w:sz w:val="24"/>
        </w:rPr>
      </w:pPr>
      <w:r w:rsidRPr="00CB4D8C">
        <w:rPr>
          <w:rFonts w:ascii="Arial" w:hAnsi="Arial" w:cs="Arial"/>
          <w:sz w:val="24"/>
        </w:rPr>
        <w:t>-    Por último el sector servicios en Colombia ha tenido un desarrollo concentrado en ciertos nichos como el de contact centers que demandan mano de obra y permiten la capacitación de este talento humano en disciplinas que son demandas por el mercado.  Sin embargo, la prestación de servicios tiene un espectro muy amplio por ser explorado y en el que Colombia tiene un gran potencial por su ubicación geográfica afín a grandes mercados como el norte americano que le dan ventajas competitivas en el mercado internacional.  Por eta razón los esfuerzos del PTP se enfocan en formar capital humano que pueda incursionar en la prestación de servicios que requieran procedimientos más complejos y mayor especialización para así atender con altos estándares de calidad lo que la demanda mundial está necesitando.</w:t>
      </w:r>
    </w:p>
    <w:p w:rsidR="00D94D1F" w:rsidRPr="00DB34B6" w:rsidRDefault="00DB34B6" w:rsidP="00DB34B6">
      <w:pPr>
        <w:spacing w:line="360" w:lineRule="auto"/>
        <w:jc w:val="center"/>
        <w:rPr>
          <w:rFonts w:ascii="Arial" w:hAnsi="Arial" w:cs="Arial"/>
          <w:b/>
          <w:sz w:val="32"/>
        </w:rPr>
      </w:pPr>
      <w:r w:rsidRPr="00DB34B6">
        <w:rPr>
          <w:rFonts w:ascii="Arial" w:hAnsi="Arial" w:cs="Arial"/>
          <w:b/>
          <w:sz w:val="32"/>
        </w:rPr>
        <w:lastRenderedPageBreak/>
        <w:t>PANORAMA MUNDIAL POSITIVO PARA LOS PRODUCTORES DE ALIMENTOS</w:t>
      </w:r>
    </w:p>
    <w:p w:rsidR="00FE3E35" w:rsidRDefault="00FE3E35" w:rsidP="00CB4D8C">
      <w:pPr>
        <w:spacing w:line="360" w:lineRule="auto"/>
        <w:rPr>
          <w:rFonts w:ascii="Arial" w:hAnsi="Arial" w:cs="Arial"/>
          <w:sz w:val="24"/>
        </w:rPr>
      </w:pPr>
    </w:p>
    <w:p w:rsidR="00FE3E35" w:rsidRDefault="00FE3E35" w:rsidP="00FE3E35">
      <w:pPr>
        <w:pStyle w:val="Prrafodelista"/>
        <w:numPr>
          <w:ilvl w:val="0"/>
          <w:numId w:val="1"/>
        </w:numPr>
        <w:spacing w:line="360" w:lineRule="auto"/>
        <w:rPr>
          <w:rFonts w:ascii="Arial" w:hAnsi="Arial" w:cs="Arial"/>
          <w:sz w:val="24"/>
        </w:rPr>
      </w:pPr>
      <w:r>
        <w:rPr>
          <w:rFonts w:ascii="Arial" w:hAnsi="Arial" w:cs="Arial"/>
          <w:sz w:val="24"/>
        </w:rPr>
        <w:t>La pobreza global se ha reducido en las últimas décadas</w:t>
      </w:r>
    </w:p>
    <w:p w:rsidR="00FE3E35" w:rsidRDefault="00FE3E35" w:rsidP="00FE3E35">
      <w:pPr>
        <w:pStyle w:val="Prrafodelista"/>
        <w:numPr>
          <w:ilvl w:val="0"/>
          <w:numId w:val="1"/>
        </w:numPr>
        <w:spacing w:line="360" w:lineRule="auto"/>
        <w:rPr>
          <w:rFonts w:ascii="Arial" w:hAnsi="Arial" w:cs="Arial"/>
          <w:sz w:val="24"/>
        </w:rPr>
      </w:pPr>
      <w:r>
        <w:rPr>
          <w:rFonts w:ascii="Arial" w:hAnsi="Arial" w:cs="Arial"/>
          <w:sz w:val="24"/>
        </w:rPr>
        <w:t>En la medición del Banco Mundial (personas viviendo con menos de US$1.25 PPP diarios), América Latina pasó de 11.9% de población pobre en 1981 al 6.5% en 2008.</w:t>
      </w:r>
    </w:p>
    <w:p w:rsidR="00FE3E35" w:rsidRDefault="00FE3E35" w:rsidP="00FE3E35">
      <w:pPr>
        <w:pStyle w:val="Prrafodelista"/>
        <w:numPr>
          <w:ilvl w:val="0"/>
          <w:numId w:val="1"/>
        </w:numPr>
        <w:spacing w:line="360" w:lineRule="auto"/>
        <w:rPr>
          <w:rFonts w:ascii="Arial" w:hAnsi="Arial" w:cs="Arial"/>
          <w:sz w:val="24"/>
        </w:rPr>
      </w:pPr>
      <w:r>
        <w:rPr>
          <w:rFonts w:ascii="Arial" w:hAnsi="Arial" w:cs="Arial"/>
          <w:sz w:val="24"/>
        </w:rPr>
        <w:t>El Este del Asia y el Pacífico del 77.2% en 1981 al 14.3% en 2008.</w:t>
      </w:r>
    </w:p>
    <w:p w:rsidR="00FE3E35" w:rsidRDefault="00FE3E35" w:rsidP="00FE3E35">
      <w:pPr>
        <w:pStyle w:val="Prrafodelista"/>
        <w:numPr>
          <w:ilvl w:val="0"/>
          <w:numId w:val="1"/>
        </w:numPr>
        <w:spacing w:line="360" w:lineRule="auto"/>
        <w:rPr>
          <w:rFonts w:ascii="Arial" w:hAnsi="Arial" w:cs="Arial"/>
          <w:sz w:val="24"/>
        </w:rPr>
      </w:pPr>
      <w:r>
        <w:rPr>
          <w:rFonts w:ascii="Arial" w:hAnsi="Arial" w:cs="Arial"/>
          <w:sz w:val="24"/>
        </w:rPr>
        <w:t>El Sur de Asia del 61.1% en 1981 al 36% en 2008.</w:t>
      </w:r>
    </w:p>
    <w:p w:rsidR="00FE3E35" w:rsidRDefault="00FE3E35" w:rsidP="00FE3E35">
      <w:pPr>
        <w:pStyle w:val="Prrafodelista"/>
        <w:numPr>
          <w:ilvl w:val="0"/>
          <w:numId w:val="1"/>
        </w:numPr>
        <w:spacing w:line="360" w:lineRule="auto"/>
        <w:rPr>
          <w:rFonts w:ascii="Arial" w:hAnsi="Arial" w:cs="Arial"/>
          <w:sz w:val="24"/>
        </w:rPr>
      </w:pPr>
      <w:r>
        <w:rPr>
          <w:rFonts w:ascii="Arial" w:hAnsi="Arial" w:cs="Arial"/>
          <w:sz w:val="24"/>
        </w:rPr>
        <w:t>Esto representa un enorme crecimiento de las clases medias y una demanda de alimentos que crece en mayor proporción al crecimiento poblacional.</w:t>
      </w:r>
    </w:p>
    <w:p w:rsidR="00FE3E35" w:rsidRDefault="00FE3E35" w:rsidP="00FE3E35">
      <w:pPr>
        <w:pStyle w:val="Prrafodelista"/>
        <w:numPr>
          <w:ilvl w:val="0"/>
          <w:numId w:val="1"/>
        </w:numPr>
        <w:spacing w:line="360" w:lineRule="auto"/>
        <w:rPr>
          <w:rFonts w:ascii="Arial" w:hAnsi="Arial" w:cs="Arial"/>
          <w:sz w:val="24"/>
        </w:rPr>
      </w:pPr>
      <w:r w:rsidRPr="00FE3E35">
        <w:rPr>
          <w:rFonts w:ascii="Arial" w:hAnsi="Arial" w:cs="Arial"/>
          <w:sz w:val="24"/>
        </w:rPr>
        <w:t xml:space="preserve">Según Alex Evans del Center on International Cooperation (CIC) de New York University, “en 7 de los últimos 8 años </w:t>
      </w:r>
      <w:r>
        <w:rPr>
          <w:rFonts w:ascii="Arial" w:hAnsi="Arial" w:cs="Arial"/>
          <w:sz w:val="24"/>
        </w:rPr>
        <w:t>el mundo ha consumido más alimentos que los que ha producido”.</w:t>
      </w:r>
    </w:p>
    <w:p w:rsidR="00FE3E35" w:rsidRDefault="00FE3E35" w:rsidP="00FE3E35">
      <w:pPr>
        <w:pStyle w:val="Prrafodelista"/>
        <w:numPr>
          <w:ilvl w:val="0"/>
          <w:numId w:val="1"/>
        </w:numPr>
        <w:spacing w:line="360" w:lineRule="auto"/>
        <w:rPr>
          <w:rFonts w:ascii="Arial" w:hAnsi="Arial" w:cs="Arial"/>
          <w:sz w:val="24"/>
        </w:rPr>
      </w:pPr>
      <w:r>
        <w:rPr>
          <w:rFonts w:ascii="Arial" w:hAnsi="Arial" w:cs="Arial"/>
          <w:sz w:val="24"/>
        </w:rPr>
        <w:t>El mismo autor señala que para el 2030 la demanda de alimentos habrá crecido en 50%, pero las ganancias en la productividad global han caído del 2.0% entre 1970 y 2000 al 1.1% actualmente, y sigue declinando”.</w:t>
      </w:r>
    </w:p>
    <w:p w:rsidR="00504E19" w:rsidRPr="00504E19" w:rsidRDefault="00FE3E35" w:rsidP="00504E19">
      <w:pPr>
        <w:pStyle w:val="Prrafodelista"/>
        <w:numPr>
          <w:ilvl w:val="0"/>
          <w:numId w:val="1"/>
        </w:numPr>
        <w:spacing w:line="360" w:lineRule="auto"/>
        <w:rPr>
          <w:rFonts w:ascii="Arial" w:hAnsi="Arial" w:cs="Arial"/>
          <w:sz w:val="24"/>
        </w:rPr>
      </w:pPr>
      <w:r>
        <w:rPr>
          <w:rFonts w:ascii="Arial" w:hAnsi="Arial" w:cs="Arial"/>
          <w:sz w:val="24"/>
        </w:rPr>
        <w:t xml:space="preserve">Según la FAO </w:t>
      </w:r>
      <w:r w:rsidR="00504E19">
        <w:rPr>
          <w:rFonts w:ascii="Arial" w:hAnsi="Arial" w:cs="Arial"/>
          <w:sz w:val="24"/>
        </w:rPr>
        <w:t xml:space="preserve">(“Cómo alimentar al mundo 2050”), </w:t>
      </w:r>
      <w:r w:rsidR="00504E19" w:rsidRPr="00504E19">
        <w:rPr>
          <w:rFonts w:ascii="Arial" w:hAnsi="Arial" w:cs="Arial"/>
          <w:sz w:val="24"/>
        </w:rPr>
        <w:t>“En el año 2050 la poblac</w:t>
      </w:r>
      <w:r w:rsidR="00504E19">
        <w:rPr>
          <w:rFonts w:ascii="Arial" w:hAnsi="Arial" w:cs="Arial"/>
          <w:sz w:val="24"/>
        </w:rPr>
        <w:t>ión mundial será de 9.</w:t>
      </w:r>
      <w:r w:rsidR="00504E19" w:rsidRPr="00504E19">
        <w:rPr>
          <w:rFonts w:ascii="Arial" w:hAnsi="Arial" w:cs="Arial"/>
          <w:sz w:val="24"/>
        </w:rPr>
        <w:t>100 millones de personas, un 34 % superior a la de hoy en día, y prácticamente la totalidad de este incremento de la población tendrá lugar en los países en desarrollo”.</w:t>
      </w:r>
    </w:p>
    <w:p w:rsidR="00504E19" w:rsidRPr="00504E19" w:rsidRDefault="00504E19" w:rsidP="00504E19">
      <w:pPr>
        <w:pStyle w:val="Prrafodelista"/>
        <w:numPr>
          <w:ilvl w:val="0"/>
          <w:numId w:val="1"/>
        </w:numPr>
        <w:spacing w:line="360" w:lineRule="auto"/>
        <w:rPr>
          <w:rFonts w:ascii="Arial" w:hAnsi="Arial" w:cs="Arial"/>
          <w:sz w:val="24"/>
        </w:rPr>
      </w:pPr>
      <w:r>
        <w:rPr>
          <w:rFonts w:ascii="Arial" w:hAnsi="Arial" w:cs="Arial"/>
          <w:sz w:val="24"/>
        </w:rPr>
        <w:t>“</w:t>
      </w:r>
      <w:r w:rsidRPr="00504E19">
        <w:rPr>
          <w:rFonts w:ascii="Arial" w:hAnsi="Arial" w:cs="Arial"/>
          <w:sz w:val="24"/>
        </w:rPr>
        <w:t>Para alimentar a esta población más numerosa, más urbana y más rica, la producción de alimentos (excluyendo los alimentos empleados en la producción de biocombustibles) deberá aumentar un 70 %”.</w:t>
      </w:r>
    </w:p>
    <w:p w:rsidR="00FE3E35" w:rsidRDefault="00504E19" w:rsidP="00FE3E35">
      <w:pPr>
        <w:pStyle w:val="Prrafodelista"/>
        <w:numPr>
          <w:ilvl w:val="0"/>
          <w:numId w:val="1"/>
        </w:numPr>
        <w:spacing w:line="360" w:lineRule="auto"/>
        <w:rPr>
          <w:rFonts w:ascii="Arial" w:hAnsi="Arial" w:cs="Arial"/>
          <w:sz w:val="24"/>
        </w:rPr>
      </w:pPr>
      <w:r>
        <w:rPr>
          <w:rFonts w:ascii="Arial" w:hAnsi="Arial" w:cs="Arial"/>
          <w:sz w:val="24"/>
        </w:rPr>
        <w:t>Ese aumento debe provenir de mejora tecnológica (mayores rendimientos) antes que de ampliación de la frontera agrícola, por las limitaciones que hay en las economías desarrolladas y por la competencia de los biocombustibles.</w:t>
      </w:r>
    </w:p>
    <w:p w:rsidR="00504E19" w:rsidRDefault="00504E19" w:rsidP="00FE3E35">
      <w:pPr>
        <w:pStyle w:val="Prrafodelista"/>
        <w:numPr>
          <w:ilvl w:val="0"/>
          <w:numId w:val="1"/>
        </w:numPr>
        <w:spacing w:line="360" w:lineRule="auto"/>
        <w:rPr>
          <w:rFonts w:ascii="Arial" w:hAnsi="Arial" w:cs="Arial"/>
          <w:sz w:val="24"/>
        </w:rPr>
      </w:pPr>
      <w:r>
        <w:rPr>
          <w:rFonts w:ascii="Arial" w:hAnsi="Arial" w:cs="Arial"/>
          <w:sz w:val="24"/>
        </w:rPr>
        <w:t>Esto abre grandes oportunidades para países como Colombia que no solo pueden mejorar sus rendimientos, sino ampliar la frontera agrícola sin afectar las zonas de reserva.</w:t>
      </w:r>
    </w:p>
    <w:p w:rsidR="00504E19" w:rsidRDefault="00504E19" w:rsidP="00FE3E35">
      <w:pPr>
        <w:pStyle w:val="Prrafodelista"/>
        <w:numPr>
          <w:ilvl w:val="0"/>
          <w:numId w:val="1"/>
        </w:numPr>
        <w:spacing w:line="360" w:lineRule="auto"/>
        <w:rPr>
          <w:rFonts w:ascii="Arial" w:hAnsi="Arial" w:cs="Arial"/>
          <w:sz w:val="24"/>
        </w:rPr>
      </w:pPr>
      <w:r>
        <w:rPr>
          <w:rFonts w:ascii="Arial" w:hAnsi="Arial" w:cs="Arial"/>
          <w:sz w:val="24"/>
        </w:rPr>
        <w:lastRenderedPageBreak/>
        <w:t>Se estima que Colombia tiene 4.2 millones de hectáreas en actividades de agricultura y las tierras con esa vocación se calculan en 10.4 millones de hectáreas.</w:t>
      </w:r>
    </w:p>
    <w:p w:rsidR="00504E19" w:rsidRDefault="00504E19" w:rsidP="00FE3E35">
      <w:pPr>
        <w:pStyle w:val="Prrafodelista"/>
        <w:numPr>
          <w:ilvl w:val="0"/>
          <w:numId w:val="1"/>
        </w:numPr>
        <w:spacing w:line="360" w:lineRule="auto"/>
        <w:rPr>
          <w:rFonts w:ascii="Arial" w:hAnsi="Arial" w:cs="Arial"/>
          <w:sz w:val="24"/>
        </w:rPr>
      </w:pPr>
      <w:r>
        <w:rPr>
          <w:rFonts w:ascii="Arial" w:hAnsi="Arial" w:cs="Arial"/>
          <w:sz w:val="24"/>
        </w:rPr>
        <w:t>Adicionalmente en uso agroforestal (combinación de bosques con agricultura y/o ganadería) hay 10 millones de hectáreas y el potencial con esa vocación es de 21.9 millones de hectáreas.</w:t>
      </w:r>
    </w:p>
    <w:p w:rsidR="0040578A" w:rsidRDefault="0040578A" w:rsidP="00FE3E35">
      <w:pPr>
        <w:pStyle w:val="Prrafodelista"/>
        <w:numPr>
          <w:ilvl w:val="0"/>
          <w:numId w:val="1"/>
        </w:numPr>
        <w:spacing w:line="360" w:lineRule="auto"/>
        <w:rPr>
          <w:rFonts w:ascii="Arial" w:hAnsi="Arial" w:cs="Arial"/>
          <w:sz w:val="24"/>
        </w:rPr>
      </w:pPr>
      <w:r>
        <w:rPr>
          <w:rFonts w:ascii="Arial" w:hAnsi="Arial" w:cs="Arial"/>
          <w:sz w:val="24"/>
        </w:rPr>
        <w:t>Esos potenciales se amplían con unas economías cada vez más abiertas en el contexto de la economía globalizada y especialmente si tenemos acuerdos comerciales con ellas.</w:t>
      </w:r>
    </w:p>
    <w:p w:rsidR="0040578A" w:rsidRDefault="0040578A" w:rsidP="00FE3E35">
      <w:pPr>
        <w:pStyle w:val="Prrafodelista"/>
        <w:numPr>
          <w:ilvl w:val="0"/>
          <w:numId w:val="1"/>
        </w:numPr>
        <w:spacing w:line="360" w:lineRule="auto"/>
        <w:rPr>
          <w:rFonts w:ascii="Arial" w:hAnsi="Arial" w:cs="Arial"/>
          <w:sz w:val="24"/>
        </w:rPr>
      </w:pPr>
      <w:r>
        <w:rPr>
          <w:rFonts w:ascii="Arial" w:hAnsi="Arial" w:cs="Arial"/>
          <w:sz w:val="24"/>
        </w:rPr>
        <w:t>En el caso de economías que demandan más alimentos por crecimiento de sus clases medias, un ejemplo importante es China. En el gráfico que sigue se ilustra su creciente demanda de pollo.</w:t>
      </w:r>
    </w:p>
    <w:p w:rsidR="0040578A" w:rsidRDefault="0040578A" w:rsidP="00FE3E35">
      <w:pPr>
        <w:pStyle w:val="Prrafodelista"/>
        <w:numPr>
          <w:ilvl w:val="0"/>
          <w:numId w:val="1"/>
        </w:numPr>
        <w:spacing w:line="360" w:lineRule="auto"/>
        <w:rPr>
          <w:rFonts w:ascii="Arial" w:hAnsi="Arial" w:cs="Arial"/>
          <w:sz w:val="24"/>
        </w:rPr>
      </w:pPr>
      <w:r>
        <w:rPr>
          <w:rFonts w:ascii="Arial" w:hAnsi="Arial" w:cs="Arial"/>
          <w:sz w:val="24"/>
        </w:rPr>
        <w:t>Aun cuando su producción doméstica sigue creciendo, la demanda crece más aceleradamente. Esto hizo que el país pasara de una situación de autoabastecimiento a importador neto de volúmenes crecientes.</w:t>
      </w:r>
    </w:p>
    <w:p w:rsidR="0040578A" w:rsidRDefault="0040578A" w:rsidP="0040578A">
      <w:pPr>
        <w:spacing w:line="360" w:lineRule="auto"/>
        <w:rPr>
          <w:rFonts w:ascii="Arial" w:hAnsi="Arial" w:cs="Arial"/>
          <w:sz w:val="24"/>
        </w:rPr>
      </w:pPr>
    </w:p>
    <w:p w:rsidR="0040578A" w:rsidRDefault="0040578A" w:rsidP="0040578A">
      <w:pPr>
        <w:spacing w:line="360" w:lineRule="auto"/>
        <w:rPr>
          <w:rFonts w:ascii="Arial" w:hAnsi="Arial" w:cs="Arial"/>
          <w:sz w:val="24"/>
        </w:rPr>
      </w:pPr>
      <w:r>
        <w:rPr>
          <w:rFonts w:ascii="Arial" w:hAnsi="Arial" w:cs="Arial"/>
          <w:sz w:val="24"/>
        </w:rPr>
        <w:t>CHINA: exportaciones e importaciones de carne de pollo 1990-2010</w:t>
      </w:r>
    </w:p>
    <w:p w:rsidR="0040578A" w:rsidRPr="0040578A" w:rsidRDefault="0040578A" w:rsidP="0040578A">
      <w:pPr>
        <w:spacing w:line="360" w:lineRule="auto"/>
        <w:rPr>
          <w:rFonts w:ascii="Arial" w:hAnsi="Arial" w:cs="Arial"/>
          <w:sz w:val="24"/>
        </w:rPr>
      </w:pPr>
      <w:r>
        <w:rPr>
          <w:rFonts w:ascii="Arial" w:hAnsi="Arial" w:cs="Arial"/>
          <w:noProof/>
          <w:sz w:val="24"/>
          <w:lang w:eastAsia="es-CO"/>
        </w:rPr>
        <w:drawing>
          <wp:inline distT="0" distB="0" distL="0" distR="0" wp14:anchorId="5825BEF7">
            <wp:extent cx="4864608" cy="328452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6381" cy="3285722"/>
                    </a:xfrm>
                    <a:prstGeom prst="rect">
                      <a:avLst/>
                    </a:prstGeom>
                    <a:noFill/>
                  </pic:spPr>
                </pic:pic>
              </a:graphicData>
            </a:graphic>
          </wp:inline>
        </w:drawing>
      </w:r>
    </w:p>
    <w:p w:rsidR="0040578A" w:rsidRDefault="0040578A">
      <w:pPr>
        <w:rPr>
          <w:rFonts w:ascii="Arial" w:hAnsi="Arial" w:cs="Arial"/>
          <w:sz w:val="24"/>
        </w:rPr>
      </w:pPr>
      <w:r>
        <w:rPr>
          <w:rFonts w:ascii="Arial" w:hAnsi="Arial" w:cs="Arial"/>
          <w:sz w:val="24"/>
        </w:rPr>
        <w:t>Fuente: FAO</w:t>
      </w:r>
    </w:p>
    <w:p w:rsidR="0040578A" w:rsidRDefault="0040578A">
      <w:pPr>
        <w:rPr>
          <w:rFonts w:ascii="Arial" w:hAnsi="Arial" w:cs="Arial"/>
          <w:sz w:val="24"/>
        </w:rPr>
      </w:pPr>
    </w:p>
    <w:p w:rsidR="0040578A" w:rsidRDefault="0040578A" w:rsidP="00754C0D">
      <w:pPr>
        <w:pStyle w:val="Prrafodelista"/>
        <w:numPr>
          <w:ilvl w:val="0"/>
          <w:numId w:val="1"/>
        </w:numPr>
        <w:spacing w:line="360" w:lineRule="auto"/>
        <w:rPr>
          <w:rFonts w:ascii="Arial" w:hAnsi="Arial" w:cs="Arial"/>
          <w:sz w:val="24"/>
        </w:rPr>
      </w:pPr>
      <w:r>
        <w:rPr>
          <w:rFonts w:ascii="Arial" w:hAnsi="Arial" w:cs="Arial"/>
          <w:sz w:val="24"/>
        </w:rPr>
        <w:lastRenderedPageBreak/>
        <w:t>Otro ejemplo es el de Chile. Este país no registraba exportaciones de carne de pollo hasta mediados de los años 80 e importaba ocasionalmente.</w:t>
      </w:r>
    </w:p>
    <w:p w:rsidR="0040578A" w:rsidRDefault="0040578A" w:rsidP="00754C0D">
      <w:pPr>
        <w:pStyle w:val="Prrafodelista"/>
        <w:numPr>
          <w:ilvl w:val="0"/>
          <w:numId w:val="1"/>
        </w:numPr>
        <w:spacing w:line="360" w:lineRule="auto"/>
        <w:rPr>
          <w:rFonts w:ascii="Arial" w:hAnsi="Arial" w:cs="Arial"/>
          <w:sz w:val="24"/>
        </w:rPr>
      </w:pPr>
      <w:r>
        <w:rPr>
          <w:rFonts w:ascii="Arial" w:hAnsi="Arial" w:cs="Arial"/>
          <w:sz w:val="24"/>
        </w:rPr>
        <w:t>A partir de esa fecha comienza a crecer sus exportaciones y sus importaciones. Ambas crecen notablemente con la entrada en vigencia del TLC con Estados Unidos.</w:t>
      </w:r>
    </w:p>
    <w:p w:rsidR="0040578A" w:rsidRPr="0040578A" w:rsidRDefault="0040578A" w:rsidP="00754C0D">
      <w:pPr>
        <w:pStyle w:val="Prrafodelista"/>
        <w:spacing w:line="360" w:lineRule="auto"/>
        <w:rPr>
          <w:rFonts w:ascii="Arial" w:hAnsi="Arial" w:cs="Arial"/>
          <w:sz w:val="24"/>
        </w:rPr>
      </w:pPr>
    </w:p>
    <w:p w:rsidR="0040578A" w:rsidRDefault="00754C0D" w:rsidP="00754C0D">
      <w:pPr>
        <w:spacing w:line="360" w:lineRule="auto"/>
        <w:rPr>
          <w:rFonts w:ascii="Arial" w:hAnsi="Arial" w:cs="Arial"/>
          <w:sz w:val="24"/>
        </w:rPr>
      </w:pPr>
      <w:r>
        <w:rPr>
          <w:rFonts w:ascii="Arial" w:hAnsi="Arial" w:cs="Arial"/>
          <w:sz w:val="24"/>
        </w:rPr>
        <w:t>CHI</w:t>
      </w:r>
      <w:r>
        <w:rPr>
          <w:rFonts w:ascii="Arial" w:hAnsi="Arial" w:cs="Arial"/>
          <w:sz w:val="24"/>
        </w:rPr>
        <w:t>LE</w:t>
      </w:r>
      <w:r>
        <w:rPr>
          <w:rFonts w:ascii="Arial" w:hAnsi="Arial" w:cs="Arial"/>
          <w:sz w:val="24"/>
        </w:rPr>
        <w:t>: exportaciones e impo</w:t>
      </w:r>
      <w:r>
        <w:rPr>
          <w:rFonts w:ascii="Arial" w:hAnsi="Arial" w:cs="Arial"/>
          <w:sz w:val="24"/>
        </w:rPr>
        <w:t>rtaciones de carne de pollo 1961</w:t>
      </w:r>
      <w:r>
        <w:rPr>
          <w:rFonts w:ascii="Arial" w:hAnsi="Arial" w:cs="Arial"/>
          <w:sz w:val="24"/>
        </w:rPr>
        <w:t>-2010</w:t>
      </w:r>
    </w:p>
    <w:p w:rsidR="0040578A" w:rsidRDefault="0040578A" w:rsidP="0040578A">
      <w:pPr>
        <w:rPr>
          <w:rFonts w:ascii="Arial" w:hAnsi="Arial" w:cs="Arial"/>
          <w:sz w:val="24"/>
        </w:rPr>
      </w:pPr>
      <w:r>
        <w:rPr>
          <w:rFonts w:ascii="Arial" w:hAnsi="Arial" w:cs="Arial"/>
          <w:noProof/>
          <w:sz w:val="24"/>
          <w:lang w:eastAsia="es-CO"/>
        </w:rPr>
        <w:drawing>
          <wp:inline distT="0" distB="0" distL="0" distR="0" wp14:anchorId="3D0E4780">
            <wp:extent cx="5584453" cy="340156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6973" cy="3403103"/>
                    </a:xfrm>
                    <a:prstGeom prst="rect">
                      <a:avLst/>
                    </a:prstGeom>
                    <a:noFill/>
                  </pic:spPr>
                </pic:pic>
              </a:graphicData>
            </a:graphic>
          </wp:inline>
        </w:drawing>
      </w:r>
    </w:p>
    <w:p w:rsidR="0040578A" w:rsidRDefault="00754C0D" w:rsidP="0040578A">
      <w:pPr>
        <w:rPr>
          <w:rFonts w:ascii="Arial" w:hAnsi="Arial" w:cs="Arial"/>
          <w:sz w:val="24"/>
        </w:rPr>
      </w:pPr>
      <w:r>
        <w:rPr>
          <w:rFonts w:ascii="Arial" w:hAnsi="Arial" w:cs="Arial"/>
          <w:sz w:val="24"/>
        </w:rPr>
        <w:t>Fuente: FAO</w:t>
      </w:r>
    </w:p>
    <w:p w:rsidR="00754C0D" w:rsidRDefault="00754C0D" w:rsidP="0040578A">
      <w:pPr>
        <w:rPr>
          <w:rFonts w:ascii="Arial" w:hAnsi="Arial" w:cs="Arial"/>
          <w:sz w:val="24"/>
        </w:rPr>
      </w:pPr>
    </w:p>
    <w:p w:rsidR="00754C0D" w:rsidRDefault="00754C0D" w:rsidP="00754C0D">
      <w:pPr>
        <w:pStyle w:val="Prrafodelista"/>
        <w:numPr>
          <w:ilvl w:val="0"/>
          <w:numId w:val="1"/>
        </w:numPr>
        <w:spacing w:line="360" w:lineRule="auto"/>
        <w:rPr>
          <w:rFonts w:ascii="Arial" w:hAnsi="Arial" w:cs="Arial"/>
          <w:sz w:val="24"/>
        </w:rPr>
      </w:pPr>
      <w:r>
        <w:rPr>
          <w:rFonts w:ascii="Arial" w:hAnsi="Arial" w:cs="Arial"/>
          <w:sz w:val="24"/>
        </w:rPr>
        <w:t>El efecto del TLC es muy claro en el comercio de alimentos de Chile. El cuadro siguiente se observa la situación de utilización de los contingentes negociados al primer año de vigencia del TLC.</w:t>
      </w:r>
    </w:p>
    <w:p w:rsidR="00754C0D" w:rsidRDefault="00754C0D" w:rsidP="00754C0D">
      <w:pPr>
        <w:pStyle w:val="Prrafodelista"/>
        <w:numPr>
          <w:ilvl w:val="0"/>
          <w:numId w:val="1"/>
        </w:numPr>
        <w:spacing w:line="360" w:lineRule="auto"/>
        <w:rPr>
          <w:rFonts w:ascii="Arial" w:hAnsi="Arial" w:cs="Arial"/>
          <w:sz w:val="24"/>
        </w:rPr>
      </w:pPr>
      <w:r>
        <w:rPr>
          <w:rFonts w:ascii="Arial" w:hAnsi="Arial" w:cs="Arial"/>
          <w:sz w:val="24"/>
        </w:rPr>
        <w:t>Saltan a la vista casos como el del pollo en el que su utilización fue nula en el primer año. Solo fueron aprovechados los contingentes de forma amplia en leche condensada y en otros productos lácteos.</w:t>
      </w:r>
    </w:p>
    <w:p w:rsidR="00754C0D" w:rsidRDefault="00754C0D" w:rsidP="00754C0D">
      <w:pPr>
        <w:pStyle w:val="Prrafodelista"/>
        <w:numPr>
          <w:ilvl w:val="0"/>
          <w:numId w:val="1"/>
        </w:numPr>
        <w:spacing w:line="360" w:lineRule="auto"/>
        <w:rPr>
          <w:rFonts w:ascii="Arial" w:hAnsi="Arial" w:cs="Arial"/>
          <w:sz w:val="24"/>
        </w:rPr>
      </w:pPr>
      <w:r>
        <w:rPr>
          <w:rFonts w:ascii="Arial" w:hAnsi="Arial" w:cs="Arial"/>
          <w:sz w:val="24"/>
        </w:rPr>
        <w:t>El cuadro 2 presenta la situación de uso de los contingentes en 2011 y 2012. En el caso de carne de aves (incluye pollo y pavo) se logró un uso del 100%.</w:t>
      </w:r>
    </w:p>
    <w:p w:rsidR="00754C0D" w:rsidRDefault="00754C0D" w:rsidP="00754C0D">
      <w:pPr>
        <w:spacing w:line="360" w:lineRule="auto"/>
        <w:rPr>
          <w:rFonts w:ascii="Arial" w:hAnsi="Arial" w:cs="Arial"/>
          <w:sz w:val="24"/>
        </w:rPr>
      </w:pPr>
    </w:p>
    <w:p w:rsidR="00754C0D" w:rsidRDefault="00754C0D" w:rsidP="00754C0D">
      <w:pPr>
        <w:rPr>
          <w:rFonts w:ascii="Arial" w:hAnsi="Arial" w:cs="Arial"/>
          <w:sz w:val="24"/>
        </w:rPr>
      </w:pPr>
    </w:p>
    <w:p w:rsidR="00754C0D" w:rsidRDefault="00754C0D" w:rsidP="00754C0D">
      <w:pPr>
        <w:rPr>
          <w:rFonts w:ascii="Arial" w:hAnsi="Arial" w:cs="Arial"/>
          <w:sz w:val="24"/>
        </w:rPr>
      </w:pPr>
      <w:r>
        <w:rPr>
          <w:rFonts w:ascii="Arial" w:hAnsi="Arial" w:cs="Arial"/>
          <w:sz w:val="24"/>
        </w:rPr>
        <w:lastRenderedPageBreak/>
        <w:t>Cuadro 1 – Utilización de las cuotas negociadas por Estados Unidos a Chile en el primer año de vigencia del TLC</w:t>
      </w:r>
    </w:p>
    <w:p w:rsidR="00754C0D" w:rsidRPr="00754C0D" w:rsidRDefault="00754C0D" w:rsidP="00754C0D">
      <w:pPr>
        <w:rPr>
          <w:rFonts w:ascii="Arial" w:hAnsi="Arial" w:cs="Arial"/>
          <w:sz w:val="24"/>
        </w:rPr>
      </w:pPr>
      <w:r>
        <w:rPr>
          <w:rFonts w:ascii="Arial" w:hAnsi="Arial" w:cs="Arial"/>
          <w:noProof/>
          <w:sz w:val="24"/>
          <w:lang w:eastAsia="es-CO"/>
        </w:rPr>
        <w:drawing>
          <wp:inline distT="0" distB="0" distL="0" distR="0">
            <wp:extent cx="5612130" cy="4802167"/>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4802167"/>
                    </a:xfrm>
                    <a:prstGeom prst="rect">
                      <a:avLst/>
                    </a:prstGeom>
                    <a:noFill/>
                    <a:ln>
                      <a:noFill/>
                    </a:ln>
                  </pic:spPr>
                </pic:pic>
              </a:graphicData>
            </a:graphic>
          </wp:inline>
        </w:drawing>
      </w:r>
    </w:p>
    <w:p w:rsidR="0040578A" w:rsidRDefault="0040578A" w:rsidP="0040578A">
      <w:pPr>
        <w:rPr>
          <w:rFonts w:ascii="Arial" w:hAnsi="Arial" w:cs="Arial"/>
          <w:sz w:val="24"/>
        </w:rPr>
      </w:pPr>
    </w:p>
    <w:p w:rsidR="00754C0D" w:rsidRDefault="00754C0D" w:rsidP="0040578A">
      <w:pPr>
        <w:rPr>
          <w:rFonts w:ascii="Arial" w:hAnsi="Arial" w:cs="Arial"/>
          <w:sz w:val="24"/>
        </w:rPr>
      </w:pPr>
      <w:r>
        <w:rPr>
          <w:rFonts w:ascii="Arial" w:hAnsi="Arial" w:cs="Arial"/>
          <w:sz w:val="24"/>
        </w:rPr>
        <w:t>Cuadro 2 – Utilización de las cuotas negociadas en 2011 y 2012</w:t>
      </w:r>
    </w:p>
    <w:p w:rsidR="0040578A" w:rsidRDefault="00754C0D" w:rsidP="0040578A">
      <w:pPr>
        <w:rPr>
          <w:rFonts w:ascii="Arial" w:hAnsi="Arial" w:cs="Arial"/>
          <w:sz w:val="24"/>
        </w:rPr>
      </w:pPr>
      <w:r>
        <w:rPr>
          <w:rFonts w:ascii="Arial" w:hAnsi="Arial" w:cs="Arial"/>
          <w:noProof/>
          <w:sz w:val="24"/>
          <w:lang w:eastAsia="es-CO"/>
        </w:rPr>
        <w:drawing>
          <wp:inline distT="0" distB="0" distL="0" distR="0">
            <wp:extent cx="4952390" cy="2714733"/>
            <wp:effectExtent l="0" t="0" r="63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2390" cy="2714733"/>
                    </a:xfrm>
                    <a:prstGeom prst="rect">
                      <a:avLst/>
                    </a:prstGeom>
                    <a:noFill/>
                    <a:ln>
                      <a:noFill/>
                    </a:ln>
                  </pic:spPr>
                </pic:pic>
              </a:graphicData>
            </a:graphic>
          </wp:inline>
        </w:drawing>
      </w:r>
    </w:p>
    <w:p w:rsidR="006D51EC" w:rsidRPr="006D51EC" w:rsidRDefault="006D51EC" w:rsidP="006D51EC">
      <w:pPr>
        <w:pStyle w:val="Prrafodelista"/>
        <w:numPr>
          <w:ilvl w:val="0"/>
          <w:numId w:val="1"/>
        </w:numPr>
        <w:rPr>
          <w:rFonts w:ascii="Arial" w:hAnsi="Arial" w:cs="Arial"/>
          <w:sz w:val="24"/>
        </w:rPr>
      </w:pPr>
      <w:r>
        <w:rPr>
          <w:rFonts w:ascii="Arial" w:hAnsi="Arial" w:cs="Arial"/>
          <w:sz w:val="24"/>
        </w:rPr>
        <w:lastRenderedPageBreak/>
        <w:t>Se observa también que en otros productos también se logró utilización del 100% y otros ya están en libre comercio.</w:t>
      </w:r>
    </w:p>
    <w:p w:rsidR="0040578A" w:rsidRPr="0040578A" w:rsidRDefault="0040578A" w:rsidP="0040578A">
      <w:pPr>
        <w:pStyle w:val="Prrafodelista"/>
        <w:rPr>
          <w:rFonts w:ascii="Arial" w:hAnsi="Arial" w:cs="Arial"/>
          <w:sz w:val="24"/>
        </w:rPr>
      </w:pPr>
    </w:p>
    <w:p w:rsidR="0040578A" w:rsidRDefault="0040578A" w:rsidP="0040578A">
      <w:pPr>
        <w:rPr>
          <w:rFonts w:ascii="Arial" w:hAnsi="Arial" w:cs="Arial"/>
          <w:sz w:val="24"/>
        </w:rPr>
      </w:pPr>
    </w:p>
    <w:p w:rsidR="00930AE7" w:rsidRDefault="00930AE7">
      <w:pPr>
        <w:rPr>
          <w:rFonts w:ascii="Arial" w:hAnsi="Arial" w:cs="Arial"/>
          <w:sz w:val="24"/>
        </w:rPr>
      </w:pPr>
      <w:r>
        <w:rPr>
          <w:rFonts w:ascii="Arial" w:hAnsi="Arial" w:cs="Arial"/>
          <w:sz w:val="24"/>
        </w:rPr>
        <w:br w:type="page"/>
      </w:r>
    </w:p>
    <w:p w:rsidR="00704CE0" w:rsidRPr="00704CE0" w:rsidRDefault="00704CE0" w:rsidP="00704CE0">
      <w:pPr>
        <w:jc w:val="center"/>
        <w:rPr>
          <w:rFonts w:ascii="Arial" w:hAnsi="Arial" w:cs="Arial"/>
          <w:b/>
          <w:sz w:val="24"/>
        </w:rPr>
      </w:pPr>
      <w:r>
        <w:rPr>
          <w:rFonts w:ascii="Arial" w:hAnsi="Arial" w:cs="Arial"/>
          <w:b/>
          <w:sz w:val="24"/>
        </w:rPr>
        <w:lastRenderedPageBreak/>
        <w:t>EXPORTACIONES DE QUESOS Y LÁCTEOS DE COLOMBIA A EEUU 2012</w:t>
      </w:r>
    </w:p>
    <w:p w:rsidR="00704CE0" w:rsidRDefault="00704CE0" w:rsidP="0040578A">
      <w:pPr>
        <w:rPr>
          <w:rFonts w:ascii="Arial" w:hAnsi="Arial" w:cs="Arial"/>
          <w:sz w:val="24"/>
        </w:rPr>
      </w:pPr>
    </w:p>
    <w:p w:rsidR="00704CE0" w:rsidRDefault="00704CE0" w:rsidP="0040578A">
      <w:pPr>
        <w:rPr>
          <w:rFonts w:ascii="Arial" w:hAnsi="Arial" w:cs="Arial"/>
          <w:sz w:val="24"/>
        </w:rPr>
      </w:pPr>
    </w:p>
    <w:p w:rsidR="00704CE0" w:rsidRDefault="00704CE0" w:rsidP="0040578A">
      <w:pPr>
        <w:rPr>
          <w:rFonts w:ascii="Arial" w:hAnsi="Arial" w:cs="Arial"/>
          <w:sz w:val="24"/>
        </w:rPr>
      </w:pPr>
      <w:r>
        <w:rPr>
          <w:rFonts w:ascii="Arial" w:hAnsi="Arial" w:cs="Arial"/>
          <w:sz w:val="24"/>
        </w:rPr>
        <w:t>Fuente DANE</w:t>
      </w:r>
    </w:p>
    <w:p w:rsidR="00704CE0" w:rsidRDefault="00704CE0" w:rsidP="0040578A">
      <w:pPr>
        <w:rPr>
          <w:rFonts w:ascii="Arial" w:hAnsi="Arial" w:cs="Arial"/>
          <w:sz w:val="24"/>
        </w:rPr>
      </w:pPr>
    </w:p>
    <w:p w:rsidR="00704CE0" w:rsidRDefault="00704CE0" w:rsidP="0040578A">
      <w:pPr>
        <w:rPr>
          <w:rFonts w:ascii="Arial" w:hAnsi="Arial" w:cs="Arial"/>
          <w:sz w:val="24"/>
        </w:rPr>
      </w:pPr>
      <w:r w:rsidRPr="00704CE0">
        <w:drawing>
          <wp:inline distT="0" distB="0" distL="0" distR="0" wp14:anchorId="2E5F4E52" wp14:editId="194C5DAF">
            <wp:extent cx="5612130" cy="985729"/>
            <wp:effectExtent l="0" t="0" r="7620" b="508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985729"/>
                    </a:xfrm>
                    <a:prstGeom prst="rect">
                      <a:avLst/>
                    </a:prstGeom>
                    <a:noFill/>
                    <a:ln>
                      <a:noFill/>
                    </a:ln>
                  </pic:spPr>
                </pic:pic>
              </a:graphicData>
            </a:graphic>
          </wp:inline>
        </w:drawing>
      </w:r>
    </w:p>
    <w:p w:rsidR="00704CE0" w:rsidRDefault="00704CE0" w:rsidP="0040578A">
      <w:pPr>
        <w:rPr>
          <w:rFonts w:ascii="Arial" w:hAnsi="Arial" w:cs="Arial"/>
          <w:sz w:val="24"/>
        </w:rPr>
      </w:pPr>
    </w:p>
    <w:p w:rsidR="00704CE0" w:rsidRDefault="00704CE0" w:rsidP="0040578A">
      <w:pPr>
        <w:rPr>
          <w:rFonts w:ascii="Arial" w:hAnsi="Arial" w:cs="Arial"/>
          <w:sz w:val="24"/>
        </w:rPr>
      </w:pPr>
    </w:p>
    <w:p w:rsidR="00704CE0" w:rsidRDefault="00704CE0" w:rsidP="0040578A">
      <w:pPr>
        <w:rPr>
          <w:rFonts w:ascii="Arial" w:hAnsi="Arial" w:cs="Arial"/>
          <w:sz w:val="24"/>
        </w:rPr>
      </w:pPr>
      <w:r>
        <w:rPr>
          <w:rFonts w:ascii="Arial" w:hAnsi="Arial" w:cs="Arial"/>
          <w:sz w:val="24"/>
        </w:rPr>
        <w:t>Fuente USITC (US$ millones)</w:t>
      </w:r>
    </w:p>
    <w:p w:rsidR="00704CE0" w:rsidRDefault="00704CE0" w:rsidP="0040578A">
      <w:pPr>
        <w:rPr>
          <w:rFonts w:ascii="Arial" w:hAnsi="Arial" w:cs="Arial"/>
          <w:sz w:val="24"/>
        </w:rPr>
      </w:pPr>
    </w:p>
    <w:p w:rsidR="00704CE0" w:rsidRDefault="00704CE0" w:rsidP="0040578A">
      <w:pPr>
        <w:rPr>
          <w:rFonts w:ascii="Arial" w:hAnsi="Arial" w:cs="Arial"/>
          <w:sz w:val="24"/>
        </w:rPr>
      </w:pPr>
      <w:r w:rsidRPr="00704CE0">
        <w:drawing>
          <wp:inline distT="0" distB="0" distL="0" distR="0">
            <wp:extent cx="2640965" cy="812165"/>
            <wp:effectExtent l="0" t="0" r="6985" b="698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40965" cy="812165"/>
                    </a:xfrm>
                    <a:prstGeom prst="rect">
                      <a:avLst/>
                    </a:prstGeom>
                    <a:noFill/>
                    <a:ln>
                      <a:noFill/>
                    </a:ln>
                  </pic:spPr>
                </pic:pic>
              </a:graphicData>
            </a:graphic>
          </wp:inline>
        </w:drawing>
      </w:r>
    </w:p>
    <w:p w:rsidR="00704CE0" w:rsidRDefault="00704CE0" w:rsidP="0040578A">
      <w:pPr>
        <w:rPr>
          <w:rFonts w:ascii="Arial" w:hAnsi="Arial" w:cs="Arial"/>
          <w:sz w:val="24"/>
        </w:rPr>
      </w:pPr>
    </w:p>
    <w:p w:rsidR="00704CE0" w:rsidRDefault="00704CE0" w:rsidP="00704CE0">
      <w:pPr>
        <w:pStyle w:val="Prrafodelista"/>
        <w:numPr>
          <w:ilvl w:val="0"/>
          <w:numId w:val="1"/>
        </w:numPr>
        <w:rPr>
          <w:rFonts w:ascii="Arial" w:hAnsi="Arial" w:cs="Arial"/>
          <w:sz w:val="24"/>
        </w:rPr>
      </w:pPr>
      <w:r w:rsidRPr="00704CE0">
        <w:rPr>
          <w:rFonts w:ascii="Arial" w:hAnsi="Arial" w:cs="Arial"/>
          <w:sz w:val="24"/>
        </w:rPr>
        <w:t>Dato a resaltar: el 69% de las exportaciones lácteas entraron en 2012 usando TLC (la única fuente</w:t>
      </w:r>
      <w:r w:rsidR="0021075D">
        <w:rPr>
          <w:rFonts w:ascii="Arial" w:hAnsi="Arial" w:cs="Arial"/>
          <w:sz w:val="24"/>
        </w:rPr>
        <w:t xml:space="preserve"> disponible</w:t>
      </w:r>
      <w:bookmarkStart w:id="0" w:name="_GoBack"/>
      <w:bookmarkEnd w:id="0"/>
      <w:r w:rsidRPr="00704CE0">
        <w:rPr>
          <w:rFonts w:ascii="Arial" w:hAnsi="Arial" w:cs="Arial"/>
          <w:sz w:val="24"/>
        </w:rPr>
        <w:t xml:space="preserve"> </w:t>
      </w:r>
      <w:r w:rsidR="0021075D">
        <w:rPr>
          <w:rFonts w:ascii="Arial" w:hAnsi="Arial" w:cs="Arial"/>
          <w:sz w:val="24"/>
        </w:rPr>
        <w:t xml:space="preserve">para este dato </w:t>
      </w:r>
      <w:r w:rsidRPr="00704CE0">
        <w:rPr>
          <w:rFonts w:ascii="Arial" w:hAnsi="Arial" w:cs="Arial"/>
          <w:sz w:val="24"/>
        </w:rPr>
        <w:t>es USITC)</w:t>
      </w:r>
    </w:p>
    <w:p w:rsidR="00704CE0" w:rsidRPr="00704CE0" w:rsidRDefault="00704CE0" w:rsidP="00704CE0">
      <w:pPr>
        <w:pStyle w:val="Prrafodelista"/>
        <w:numPr>
          <w:ilvl w:val="0"/>
          <w:numId w:val="1"/>
        </w:numPr>
        <w:rPr>
          <w:rFonts w:ascii="Arial" w:hAnsi="Arial" w:cs="Arial"/>
          <w:sz w:val="24"/>
        </w:rPr>
      </w:pPr>
      <w:r>
        <w:rPr>
          <w:rFonts w:ascii="Arial" w:hAnsi="Arial" w:cs="Arial"/>
          <w:sz w:val="24"/>
        </w:rPr>
        <w:t>En el caso de USITC se incluye en las importaciones de lácteos el dulce de leche, que no se incluye en el DANE para este sector.</w:t>
      </w:r>
    </w:p>
    <w:p w:rsidR="00704CE0" w:rsidRDefault="00704CE0" w:rsidP="0040578A">
      <w:pPr>
        <w:rPr>
          <w:rFonts w:ascii="Arial" w:hAnsi="Arial" w:cs="Arial"/>
          <w:sz w:val="24"/>
        </w:rPr>
      </w:pPr>
    </w:p>
    <w:p w:rsidR="00704CE0" w:rsidRDefault="00704CE0" w:rsidP="0040578A">
      <w:pPr>
        <w:rPr>
          <w:rFonts w:ascii="Arial" w:hAnsi="Arial" w:cs="Arial"/>
          <w:sz w:val="24"/>
        </w:rPr>
      </w:pPr>
    </w:p>
    <w:p w:rsidR="00704CE0" w:rsidRDefault="00704CE0" w:rsidP="0040578A">
      <w:pPr>
        <w:rPr>
          <w:rFonts w:ascii="Arial" w:hAnsi="Arial" w:cs="Arial"/>
          <w:sz w:val="24"/>
        </w:rPr>
      </w:pPr>
    </w:p>
    <w:p w:rsidR="00704CE0" w:rsidRDefault="00704CE0" w:rsidP="0040578A">
      <w:pPr>
        <w:rPr>
          <w:rFonts w:ascii="Arial" w:hAnsi="Arial" w:cs="Arial"/>
          <w:sz w:val="24"/>
        </w:rPr>
      </w:pPr>
    </w:p>
    <w:p w:rsidR="00105E0D" w:rsidRPr="0040578A" w:rsidRDefault="00105E0D" w:rsidP="0040578A">
      <w:pPr>
        <w:rPr>
          <w:rFonts w:ascii="Arial" w:hAnsi="Arial" w:cs="Arial"/>
          <w:sz w:val="24"/>
        </w:rPr>
      </w:pPr>
      <w:r w:rsidRPr="0040578A">
        <w:rPr>
          <w:rFonts w:ascii="Arial" w:hAnsi="Arial" w:cs="Arial"/>
          <w:sz w:val="24"/>
        </w:rPr>
        <w:br w:type="page"/>
      </w:r>
    </w:p>
    <w:p w:rsidR="00D94D1F" w:rsidRPr="00105E0D" w:rsidRDefault="00105E0D" w:rsidP="00105E0D">
      <w:pPr>
        <w:spacing w:line="360" w:lineRule="auto"/>
        <w:jc w:val="center"/>
        <w:rPr>
          <w:rFonts w:ascii="Arial" w:hAnsi="Arial" w:cs="Arial"/>
          <w:b/>
          <w:sz w:val="24"/>
        </w:rPr>
      </w:pPr>
      <w:r w:rsidRPr="00105E0D">
        <w:rPr>
          <w:rFonts w:ascii="Arial" w:hAnsi="Arial" w:cs="Arial"/>
          <w:b/>
          <w:sz w:val="32"/>
        </w:rPr>
        <w:lastRenderedPageBreak/>
        <w:t>CONTINGENTES DE ARROZ EN LOS TLC</w:t>
      </w:r>
    </w:p>
    <w:p w:rsidR="00105E0D" w:rsidRDefault="00105E0D" w:rsidP="00105E0D">
      <w:pPr>
        <w:pStyle w:val="Prrafodelista"/>
        <w:spacing w:line="360" w:lineRule="auto"/>
        <w:ind w:left="360"/>
        <w:rPr>
          <w:rFonts w:ascii="Arial" w:hAnsi="Arial" w:cs="Arial"/>
          <w:sz w:val="24"/>
        </w:rPr>
      </w:pPr>
    </w:p>
    <w:p w:rsidR="00105E0D" w:rsidRDefault="00105E0D" w:rsidP="00105E0D">
      <w:pPr>
        <w:pStyle w:val="Prrafodelista"/>
        <w:numPr>
          <w:ilvl w:val="0"/>
          <w:numId w:val="1"/>
        </w:numPr>
        <w:spacing w:line="360" w:lineRule="auto"/>
        <w:rPr>
          <w:rFonts w:ascii="Arial" w:hAnsi="Arial" w:cs="Arial"/>
          <w:sz w:val="24"/>
        </w:rPr>
      </w:pPr>
      <w:r>
        <w:rPr>
          <w:rFonts w:ascii="Arial" w:hAnsi="Arial" w:cs="Arial"/>
          <w:sz w:val="24"/>
        </w:rPr>
        <w:t>El único TLC en que se negociaron contingentes de arroz fue el de Estados Unidos.</w:t>
      </w:r>
    </w:p>
    <w:p w:rsidR="00105E0D" w:rsidRDefault="00105E0D" w:rsidP="00105E0D">
      <w:pPr>
        <w:pStyle w:val="Prrafodelista"/>
        <w:numPr>
          <w:ilvl w:val="0"/>
          <w:numId w:val="1"/>
        </w:numPr>
        <w:spacing w:line="360" w:lineRule="auto"/>
        <w:rPr>
          <w:rFonts w:ascii="Arial" w:hAnsi="Arial" w:cs="Arial"/>
          <w:sz w:val="24"/>
        </w:rPr>
      </w:pPr>
      <w:r>
        <w:rPr>
          <w:rFonts w:ascii="Arial" w:hAnsi="Arial" w:cs="Arial"/>
          <w:sz w:val="24"/>
        </w:rPr>
        <w:t>Las estimaciones del Ministerio indican que (con datos 2010) ese contingente equivale al 3.3% de la producción nacional, en el primer año de vigencia del acuerdo.</w:t>
      </w:r>
    </w:p>
    <w:p w:rsidR="00105E0D" w:rsidRPr="00105E0D" w:rsidRDefault="00105E0D" w:rsidP="00105E0D">
      <w:pPr>
        <w:pStyle w:val="Prrafodelista"/>
        <w:numPr>
          <w:ilvl w:val="0"/>
          <w:numId w:val="1"/>
        </w:numPr>
        <w:spacing w:line="360" w:lineRule="auto"/>
        <w:rPr>
          <w:rFonts w:ascii="Arial" w:hAnsi="Arial" w:cs="Arial"/>
          <w:sz w:val="24"/>
        </w:rPr>
      </w:pPr>
      <w:r>
        <w:rPr>
          <w:rFonts w:ascii="Arial" w:hAnsi="Arial" w:cs="Arial"/>
          <w:sz w:val="24"/>
        </w:rPr>
        <w:t>Suponiendo que la producción no crece, el año 17 el contingente sería equivalente al 6.9% de la producción.</w:t>
      </w:r>
    </w:p>
    <w:p w:rsidR="00105E0D" w:rsidRDefault="00105E0D" w:rsidP="00CB4D8C">
      <w:pPr>
        <w:spacing w:line="360" w:lineRule="auto"/>
        <w:rPr>
          <w:rFonts w:ascii="Arial" w:hAnsi="Arial" w:cs="Arial"/>
          <w:sz w:val="24"/>
        </w:rPr>
      </w:pPr>
    </w:p>
    <w:p w:rsidR="00105E0D" w:rsidRPr="00FE3E35" w:rsidRDefault="00105E0D" w:rsidP="00CB4D8C">
      <w:pPr>
        <w:spacing w:line="360" w:lineRule="auto"/>
        <w:rPr>
          <w:rFonts w:ascii="Arial" w:hAnsi="Arial" w:cs="Arial"/>
          <w:sz w:val="24"/>
        </w:rPr>
      </w:pPr>
      <w:r w:rsidRPr="00105E0D">
        <w:drawing>
          <wp:inline distT="0" distB="0" distL="0" distR="0" wp14:anchorId="32257336" wp14:editId="61C1BB74">
            <wp:extent cx="5937498" cy="1609344"/>
            <wp:effectExtent l="0" t="0" r="635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8950" cy="1609738"/>
                    </a:xfrm>
                    <a:prstGeom prst="rect">
                      <a:avLst/>
                    </a:prstGeom>
                    <a:noFill/>
                    <a:ln>
                      <a:noFill/>
                    </a:ln>
                  </pic:spPr>
                </pic:pic>
              </a:graphicData>
            </a:graphic>
          </wp:inline>
        </w:drawing>
      </w:r>
    </w:p>
    <w:p w:rsidR="00105E0D" w:rsidRPr="00105E0D" w:rsidRDefault="00105E0D" w:rsidP="00E276F7">
      <w:pPr>
        <w:rPr>
          <w:rFonts w:ascii="Arial" w:hAnsi="Arial" w:cs="Arial"/>
          <w:sz w:val="24"/>
        </w:rPr>
      </w:pPr>
      <w:r w:rsidRPr="00105E0D">
        <w:rPr>
          <w:rFonts w:ascii="Arial" w:hAnsi="Arial" w:cs="Arial"/>
          <w:sz w:val="24"/>
        </w:rPr>
        <w:t>Fuente: MADR.</w:t>
      </w:r>
      <w:r w:rsidR="00E276F7">
        <w:rPr>
          <w:rFonts w:ascii="Arial" w:hAnsi="Arial" w:cs="Arial"/>
          <w:sz w:val="24"/>
        </w:rPr>
        <w:t xml:space="preserve"> </w:t>
      </w:r>
      <w:r w:rsidRPr="00105E0D">
        <w:rPr>
          <w:rFonts w:ascii="Arial" w:hAnsi="Arial" w:cs="Arial"/>
          <w:sz w:val="24"/>
        </w:rPr>
        <w:t>C</w:t>
      </w:r>
      <w:r w:rsidR="00E276F7">
        <w:rPr>
          <w:rFonts w:ascii="Arial" w:hAnsi="Arial" w:cs="Arial"/>
          <w:sz w:val="24"/>
        </w:rPr>
        <w:t>á</w:t>
      </w:r>
      <w:r w:rsidRPr="00105E0D">
        <w:rPr>
          <w:rFonts w:ascii="Arial" w:hAnsi="Arial" w:cs="Arial"/>
          <w:sz w:val="24"/>
        </w:rPr>
        <w:t>lculos: MCIT</w:t>
      </w:r>
    </w:p>
    <w:p w:rsidR="00105E0D" w:rsidRPr="00105E0D" w:rsidRDefault="00105E0D" w:rsidP="00E276F7">
      <w:pPr>
        <w:rPr>
          <w:rFonts w:ascii="Arial" w:hAnsi="Arial" w:cs="Arial"/>
          <w:sz w:val="24"/>
        </w:rPr>
      </w:pPr>
      <w:r w:rsidRPr="00105E0D">
        <w:rPr>
          <w:rFonts w:ascii="Arial" w:hAnsi="Arial" w:cs="Arial"/>
          <w:sz w:val="24"/>
        </w:rPr>
        <w:t>** Incluye el crecimiento del contingente y supone que la producci</w:t>
      </w:r>
      <w:r>
        <w:rPr>
          <w:rFonts w:ascii="Arial" w:hAnsi="Arial" w:cs="Arial"/>
          <w:sz w:val="24"/>
        </w:rPr>
        <w:t>ó</w:t>
      </w:r>
      <w:r w:rsidRPr="00105E0D">
        <w:rPr>
          <w:rFonts w:ascii="Arial" w:hAnsi="Arial" w:cs="Arial"/>
          <w:sz w:val="24"/>
        </w:rPr>
        <w:t>n no crece, con lo cual es una proporción estimada por lo alto.</w:t>
      </w:r>
    </w:p>
    <w:p w:rsidR="00D94D1F" w:rsidRPr="00FE3E35" w:rsidRDefault="00105E0D" w:rsidP="00E276F7">
      <w:pPr>
        <w:rPr>
          <w:rFonts w:ascii="Arial" w:hAnsi="Arial" w:cs="Arial"/>
          <w:sz w:val="24"/>
        </w:rPr>
      </w:pPr>
      <w:r w:rsidRPr="00105E0D">
        <w:rPr>
          <w:rFonts w:ascii="Arial" w:hAnsi="Arial" w:cs="Arial"/>
          <w:sz w:val="24"/>
        </w:rPr>
        <w:t xml:space="preserve">*** La información de Consumo Nacional Aparente corresponde a la sumatoria de producción más Importaciones menos Exportaciones, estas dos </w:t>
      </w:r>
      <w:r>
        <w:rPr>
          <w:rFonts w:ascii="Arial" w:hAnsi="Arial" w:cs="Arial"/>
          <w:sz w:val="24"/>
        </w:rPr>
        <w:t>ú</w:t>
      </w:r>
      <w:r w:rsidRPr="00105E0D">
        <w:rPr>
          <w:rFonts w:ascii="Arial" w:hAnsi="Arial" w:cs="Arial"/>
          <w:sz w:val="24"/>
        </w:rPr>
        <w:t>ltimas cifras DIAN-DANE.</w:t>
      </w:r>
    </w:p>
    <w:p w:rsidR="00D94D1F" w:rsidRDefault="00D94D1F" w:rsidP="00CB4D8C">
      <w:pPr>
        <w:spacing w:line="360" w:lineRule="auto"/>
        <w:rPr>
          <w:rFonts w:ascii="Arial" w:hAnsi="Arial" w:cs="Arial"/>
          <w:sz w:val="24"/>
        </w:rPr>
      </w:pPr>
    </w:p>
    <w:tbl>
      <w:tblPr>
        <w:tblpPr w:leftFromText="141" w:rightFromText="141" w:vertAnchor="text"/>
        <w:tblW w:w="8786" w:type="dxa"/>
        <w:tblCellMar>
          <w:left w:w="0" w:type="dxa"/>
          <w:right w:w="0" w:type="dxa"/>
        </w:tblCellMar>
        <w:tblLook w:val="04A0" w:firstRow="1" w:lastRow="0" w:firstColumn="1" w:lastColumn="0" w:noHBand="0" w:noVBand="1"/>
      </w:tblPr>
      <w:tblGrid>
        <w:gridCol w:w="1639"/>
        <w:gridCol w:w="7147"/>
      </w:tblGrid>
      <w:tr w:rsidR="00A74DC5" w:rsidRPr="008647DC" w:rsidTr="00A74DC5">
        <w:trPr>
          <w:trHeight w:val="451"/>
        </w:trPr>
        <w:tc>
          <w:tcPr>
            <w:tcW w:w="163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4DC5" w:rsidRPr="008647DC" w:rsidRDefault="00A74DC5" w:rsidP="00585133">
            <w:pPr>
              <w:rPr>
                <w:rFonts w:ascii="Arial" w:hAnsi="Arial" w:cs="Arial"/>
                <w:sz w:val="24"/>
                <w:szCs w:val="24"/>
                <w:u w:val="single"/>
              </w:rPr>
            </w:pPr>
            <w:r w:rsidRPr="008647DC">
              <w:rPr>
                <w:rFonts w:ascii="Arial" w:hAnsi="Arial" w:cs="Arial"/>
                <w:sz w:val="24"/>
                <w:szCs w:val="24"/>
                <w:u w:val="single"/>
              </w:rPr>
              <w:t>CAN-MERCOSUR</w:t>
            </w:r>
          </w:p>
        </w:tc>
        <w:tc>
          <w:tcPr>
            <w:tcW w:w="7147" w:type="dxa"/>
            <w:tcBorders>
              <w:top w:val="nil"/>
              <w:left w:val="nil"/>
              <w:bottom w:val="single" w:sz="8" w:space="0" w:color="000000"/>
              <w:right w:val="single" w:sz="8" w:space="0" w:color="000000"/>
            </w:tcBorders>
            <w:tcMar>
              <w:top w:w="0" w:type="dxa"/>
              <w:left w:w="108" w:type="dxa"/>
              <w:bottom w:w="0" w:type="dxa"/>
              <w:right w:w="108" w:type="dxa"/>
            </w:tcMar>
            <w:hideMark/>
          </w:tcPr>
          <w:p w:rsidR="00A74DC5" w:rsidRPr="008647DC" w:rsidRDefault="00A74DC5" w:rsidP="00585133">
            <w:pPr>
              <w:rPr>
                <w:rFonts w:ascii="Arial" w:hAnsi="Arial" w:cs="Arial"/>
                <w:sz w:val="24"/>
                <w:szCs w:val="24"/>
              </w:rPr>
            </w:pPr>
            <w:r w:rsidRPr="008647DC">
              <w:rPr>
                <w:rFonts w:ascii="Arial" w:hAnsi="Arial" w:cs="Arial"/>
                <w:sz w:val="24"/>
                <w:szCs w:val="24"/>
              </w:rPr>
              <w:t>Preferencia del 67% a los cuatro países del Mercosur, aplicable sobre un arancel del 20%. Se llega a 100% de preferencia en 2018.</w:t>
            </w:r>
          </w:p>
        </w:tc>
      </w:tr>
    </w:tbl>
    <w:p w:rsidR="00A74DC5" w:rsidRDefault="00A74DC5" w:rsidP="00CB4D8C">
      <w:pPr>
        <w:spacing w:line="360" w:lineRule="auto"/>
        <w:rPr>
          <w:rFonts w:ascii="Arial" w:hAnsi="Arial" w:cs="Arial"/>
          <w:sz w:val="24"/>
        </w:rPr>
      </w:pPr>
    </w:p>
    <w:p w:rsidR="00A74DC5" w:rsidRPr="00FE3E35" w:rsidRDefault="00A74DC5" w:rsidP="00CB4D8C">
      <w:pPr>
        <w:spacing w:line="360" w:lineRule="auto"/>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 xml:space="preserve">De acuerdo con las estadísticas de comercio exterior, las importaciones de arroz provenientes de los Estados Unidos bajo el contingente preferencial de 79 mil toneladas ascendieron a 74.000 (93.7%)  entre mayo de 2012, mes en que entró en vigencia el Acuerdo y diciembre de 2012. Las importaciones totales desde Estados Unidos sumaron 92.951 toneladas.  Las importaciones que excedieron del contingente (18.951 toneladas) ingresaron con un arancel de 80% (arroz paddy) o 15% (arroz blanco), es decir el mismo arancel que paga el arroz que se importa de </w:t>
      </w:r>
      <w:r w:rsidRPr="00E276F7">
        <w:rPr>
          <w:rFonts w:ascii="Arial" w:hAnsi="Arial" w:cs="Arial"/>
          <w:sz w:val="24"/>
        </w:rPr>
        <w:lastRenderedPageBreak/>
        <w:t>países con los que Colombia no tiene acuerdos comerciales ni ningún tipo de preferencia arancelaria.</w:t>
      </w:r>
    </w:p>
    <w:p w:rsidR="00E276F7" w:rsidRPr="00E276F7" w:rsidRDefault="00E276F7" w:rsidP="00E276F7">
      <w:pPr>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 xml:space="preserve">Según información de Fedearroz, a octubre de 2012  la producción nacional alcanzó 1.2  millones de toneladas y la registrada en 2011 fue de 1.9 millones.   Las importaciones preferenciales (bajo contingente) realizadas desde Estados Unidos, representaron el 3.9% de la producción nacional de 2011 y  el 6.1% frente a la producción enero – octubre de 2012 (la cifra completa se conoce en abril cuando se termina la cosecha). </w:t>
      </w:r>
    </w:p>
    <w:p w:rsidR="00E276F7" w:rsidRPr="00E276F7" w:rsidRDefault="00E276F7" w:rsidP="00E276F7">
      <w:pPr>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El contingente preferencial del TLC EE.UU. es administrado por la empresa COLOMBIA RICE EXPORT QUOTA, INC., establecida en el estado de Delaware y con una participación del 50% de gremios colombianos (FEDEARROZ tiene 7 de los 8 puestos en la junta directiva que tiene Colombia). La función de esta empresa es subastar los cupos con lo cual se obtienen recursos que de acuerdo con el Decreto 728 de 2012, en la parte colombiana deben destinarse a proyectos en beneficio de los productores nacionales. Un efecto secundario de las subastas es el encarecimiento del producto importado, creando una protección adicional a la producción doméstica. A manera de ejemplo, la subasta de 2012 arrojó un valor promedio por tonelada de US$91.3, y generó para los gremios colombianos recursos por $7 mil millones de pesos.</w:t>
      </w:r>
    </w:p>
    <w:p w:rsidR="00E276F7" w:rsidRPr="00E276F7" w:rsidRDefault="00E276F7" w:rsidP="00E276F7">
      <w:pPr>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Para 2013, de acuerdo con información de COLOMBIA RICE EXPORT QUOTA se tiene planeado hacer tres subastas de la siguiente forma:</w:t>
      </w:r>
    </w:p>
    <w:p w:rsidR="00E276F7" w:rsidRPr="00E276F7" w:rsidRDefault="00E276F7" w:rsidP="00E276F7">
      <w:pPr>
        <w:rPr>
          <w:rFonts w:ascii="Arial" w:hAnsi="Arial" w:cs="Arial"/>
          <w:sz w:val="24"/>
        </w:rPr>
      </w:pPr>
    </w:p>
    <w:p w:rsidR="00E276F7" w:rsidRDefault="00E276F7" w:rsidP="00E276F7">
      <w:pPr>
        <w:rPr>
          <w:color w:val="1F497D"/>
          <w:lang w:eastAsia="es-CO"/>
        </w:rPr>
      </w:pPr>
    </w:p>
    <w:tbl>
      <w:tblPr>
        <w:tblpPr w:leftFromText="141" w:rightFromText="141" w:vertAnchor="text"/>
        <w:tblW w:w="5361" w:type="dxa"/>
        <w:tblCellMar>
          <w:left w:w="0" w:type="dxa"/>
          <w:right w:w="0" w:type="dxa"/>
        </w:tblCellMar>
        <w:tblLook w:val="04A0" w:firstRow="1" w:lastRow="0" w:firstColumn="1" w:lastColumn="0" w:noHBand="0" w:noVBand="1"/>
      </w:tblPr>
      <w:tblGrid>
        <w:gridCol w:w="1554"/>
        <w:gridCol w:w="1459"/>
        <w:gridCol w:w="2348"/>
      </w:tblGrid>
      <w:tr w:rsidR="00E276F7" w:rsidTr="00E276F7">
        <w:trPr>
          <w:trHeight w:val="416"/>
        </w:trPr>
        <w:tc>
          <w:tcPr>
            <w:tcW w:w="5361"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276F7" w:rsidRDefault="00E276F7">
            <w:pPr>
              <w:jc w:val="center"/>
              <w:rPr>
                <w:rFonts w:ascii="Calibri" w:hAnsi="Calibri"/>
                <w:b/>
                <w:bCs/>
                <w:sz w:val="20"/>
                <w:szCs w:val="20"/>
              </w:rPr>
            </w:pPr>
            <w:r>
              <w:rPr>
                <w:b/>
                <w:bCs/>
                <w:sz w:val="20"/>
                <w:szCs w:val="20"/>
              </w:rPr>
              <w:t>CALENDARIO 2013</w:t>
            </w:r>
          </w:p>
        </w:tc>
      </w:tr>
      <w:tr w:rsidR="00E276F7" w:rsidTr="00E276F7">
        <w:trPr>
          <w:trHeight w:val="600"/>
        </w:trPr>
        <w:tc>
          <w:tcPr>
            <w:tcW w:w="15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276F7" w:rsidRDefault="00E276F7">
            <w:pPr>
              <w:jc w:val="center"/>
              <w:rPr>
                <w:rFonts w:ascii="Calibri" w:hAnsi="Calibri"/>
                <w:b/>
                <w:bCs/>
                <w:sz w:val="20"/>
                <w:szCs w:val="20"/>
              </w:rPr>
            </w:pPr>
            <w:r>
              <w:rPr>
                <w:b/>
                <w:bCs/>
                <w:sz w:val="20"/>
                <w:szCs w:val="20"/>
              </w:rPr>
              <w:t>Fecha Subasta</w:t>
            </w:r>
          </w:p>
        </w:tc>
        <w:tc>
          <w:tcPr>
            <w:tcW w:w="14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6F7" w:rsidRDefault="00E276F7">
            <w:pPr>
              <w:jc w:val="center"/>
              <w:rPr>
                <w:rFonts w:ascii="Calibri" w:hAnsi="Calibri"/>
                <w:b/>
                <w:bCs/>
                <w:sz w:val="20"/>
                <w:szCs w:val="20"/>
              </w:rPr>
            </w:pPr>
            <w:r>
              <w:rPr>
                <w:b/>
                <w:bCs/>
                <w:sz w:val="20"/>
                <w:szCs w:val="20"/>
              </w:rPr>
              <w:t>Cantidad Disponible</w:t>
            </w:r>
          </w:p>
        </w:tc>
        <w:tc>
          <w:tcPr>
            <w:tcW w:w="23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6F7" w:rsidRDefault="00E276F7">
            <w:pPr>
              <w:jc w:val="center"/>
              <w:rPr>
                <w:rFonts w:ascii="Calibri" w:hAnsi="Calibri"/>
                <w:b/>
                <w:bCs/>
                <w:sz w:val="20"/>
                <w:szCs w:val="20"/>
              </w:rPr>
            </w:pPr>
            <w:r>
              <w:rPr>
                <w:b/>
                <w:bCs/>
                <w:sz w:val="20"/>
                <w:szCs w:val="20"/>
              </w:rPr>
              <w:t>Fecha de envío</w:t>
            </w:r>
          </w:p>
        </w:tc>
      </w:tr>
      <w:tr w:rsidR="00E276F7" w:rsidTr="00E276F7">
        <w:trPr>
          <w:trHeight w:val="300"/>
        </w:trPr>
        <w:tc>
          <w:tcPr>
            <w:tcW w:w="155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E276F7" w:rsidRDefault="00E276F7">
            <w:pPr>
              <w:rPr>
                <w:rFonts w:ascii="Calibri" w:hAnsi="Calibri"/>
                <w:sz w:val="20"/>
                <w:szCs w:val="20"/>
              </w:rPr>
            </w:pPr>
            <w:r>
              <w:rPr>
                <w:sz w:val="20"/>
                <w:szCs w:val="20"/>
              </w:rPr>
              <w:t>Febrero 4 - 6</w:t>
            </w:r>
          </w:p>
        </w:tc>
        <w:tc>
          <w:tcPr>
            <w:tcW w:w="1459" w:type="dxa"/>
            <w:tcBorders>
              <w:top w:val="nil"/>
              <w:left w:val="nil"/>
              <w:bottom w:val="single" w:sz="8" w:space="0" w:color="auto"/>
              <w:right w:val="single" w:sz="8" w:space="0" w:color="auto"/>
            </w:tcBorders>
            <w:noWrap/>
            <w:tcMar>
              <w:top w:w="0" w:type="dxa"/>
              <w:left w:w="108" w:type="dxa"/>
              <w:bottom w:w="0" w:type="dxa"/>
              <w:right w:w="108" w:type="dxa"/>
            </w:tcMar>
            <w:hideMark/>
          </w:tcPr>
          <w:p w:rsidR="00E276F7" w:rsidRDefault="00E276F7">
            <w:pPr>
              <w:rPr>
                <w:rFonts w:ascii="Calibri" w:hAnsi="Calibri"/>
                <w:sz w:val="20"/>
                <w:szCs w:val="20"/>
              </w:rPr>
            </w:pPr>
            <w:r>
              <w:rPr>
                <w:sz w:val="20"/>
                <w:szCs w:val="20"/>
              </w:rPr>
              <w:t xml:space="preserve">           53.000 </w:t>
            </w:r>
          </w:p>
        </w:tc>
        <w:tc>
          <w:tcPr>
            <w:tcW w:w="2348" w:type="dxa"/>
            <w:tcBorders>
              <w:top w:val="nil"/>
              <w:left w:val="nil"/>
              <w:bottom w:val="single" w:sz="8" w:space="0" w:color="auto"/>
              <w:right w:val="single" w:sz="8" w:space="0" w:color="auto"/>
            </w:tcBorders>
            <w:noWrap/>
            <w:tcMar>
              <w:top w:w="0" w:type="dxa"/>
              <w:left w:w="108" w:type="dxa"/>
              <w:bottom w:w="0" w:type="dxa"/>
              <w:right w:w="108" w:type="dxa"/>
            </w:tcMar>
            <w:hideMark/>
          </w:tcPr>
          <w:p w:rsidR="00E276F7" w:rsidRDefault="00E276F7">
            <w:pPr>
              <w:rPr>
                <w:rFonts w:ascii="Calibri" w:hAnsi="Calibri"/>
                <w:sz w:val="20"/>
                <w:szCs w:val="20"/>
              </w:rPr>
            </w:pPr>
            <w:r>
              <w:rPr>
                <w:sz w:val="20"/>
                <w:szCs w:val="20"/>
              </w:rPr>
              <w:t>Febrero 8 - Junio 30</w:t>
            </w:r>
          </w:p>
        </w:tc>
      </w:tr>
      <w:tr w:rsidR="00E276F7" w:rsidTr="00E276F7">
        <w:trPr>
          <w:trHeight w:val="300"/>
        </w:trPr>
        <w:tc>
          <w:tcPr>
            <w:tcW w:w="155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E276F7" w:rsidRDefault="00E276F7">
            <w:pPr>
              <w:rPr>
                <w:rFonts w:ascii="Calibri" w:hAnsi="Calibri"/>
                <w:sz w:val="20"/>
                <w:szCs w:val="20"/>
              </w:rPr>
            </w:pPr>
            <w:r>
              <w:rPr>
                <w:sz w:val="20"/>
                <w:szCs w:val="20"/>
              </w:rPr>
              <w:t>Junio 3</w:t>
            </w:r>
          </w:p>
        </w:tc>
        <w:tc>
          <w:tcPr>
            <w:tcW w:w="1459" w:type="dxa"/>
            <w:tcBorders>
              <w:top w:val="nil"/>
              <w:left w:val="nil"/>
              <w:bottom w:val="single" w:sz="8" w:space="0" w:color="auto"/>
              <w:right w:val="single" w:sz="8" w:space="0" w:color="auto"/>
            </w:tcBorders>
            <w:noWrap/>
            <w:tcMar>
              <w:top w:w="0" w:type="dxa"/>
              <w:left w:w="108" w:type="dxa"/>
              <w:bottom w:w="0" w:type="dxa"/>
              <w:right w:w="108" w:type="dxa"/>
            </w:tcMar>
            <w:hideMark/>
          </w:tcPr>
          <w:p w:rsidR="00E276F7" w:rsidRDefault="00E276F7">
            <w:pPr>
              <w:rPr>
                <w:rFonts w:ascii="Calibri" w:hAnsi="Calibri"/>
                <w:sz w:val="20"/>
                <w:szCs w:val="20"/>
              </w:rPr>
            </w:pPr>
            <w:r>
              <w:rPr>
                <w:sz w:val="20"/>
                <w:szCs w:val="20"/>
              </w:rPr>
              <w:t xml:space="preserve">           12.000 </w:t>
            </w:r>
          </w:p>
        </w:tc>
        <w:tc>
          <w:tcPr>
            <w:tcW w:w="2348" w:type="dxa"/>
            <w:tcBorders>
              <w:top w:val="nil"/>
              <w:left w:val="nil"/>
              <w:bottom w:val="single" w:sz="8" w:space="0" w:color="auto"/>
              <w:right w:val="single" w:sz="8" w:space="0" w:color="auto"/>
            </w:tcBorders>
            <w:noWrap/>
            <w:tcMar>
              <w:top w:w="0" w:type="dxa"/>
              <w:left w:w="108" w:type="dxa"/>
              <w:bottom w:w="0" w:type="dxa"/>
              <w:right w:w="108" w:type="dxa"/>
            </w:tcMar>
            <w:hideMark/>
          </w:tcPr>
          <w:p w:rsidR="00E276F7" w:rsidRDefault="00E276F7">
            <w:pPr>
              <w:rPr>
                <w:rFonts w:ascii="Calibri" w:hAnsi="Calibri"/>
                <w:sz w:val="20"/>
                <w:szCs w:val="20"/>
              </w:rPr>
            </w:pPr>
            <w:r>
              <w:rPr>
                <w:sz w:val="20"/>
                <w:szCs w:val="20"/>
              </w:rPr>
              <w:t>Julio 1 - Octubre 15</w:t>
            </w:r>
          </w:p>
        </w:tc>
      </w:tr>
      <w:tr w:rsidR="00E276F7" w:rsidTr="00E276F7">
        <w:trPr>
          <w:trHeight w:val="300"/>
        </w:trPr>
        <w:tc>
          <w:tcPr>
            <w:tcW w:w="155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E276F7" w:rsidRDefault="00E276F7">
            <w:pPr>
              <w:rPr>
                <w:rFonts w:ascii="Calibri" w:hAnsi="Calibri"/>
                <w:sz w:val="20"/>
                <w:szCs w:val="20"/>
              </w:rPr>
            </w:pPr>
            <w:r>
              <w:rPr>
                <w:sz w:val="20"/>
                <w:szCs w:val="20"/>
              </w:rPr>
              <w:t>Octubre 1</w:t>
            </w:r>
          </w:p>
        </w:tc>
        <w:tc>
          <w:tcPr>
            <w:tcW w:w="1459" w:type="dxa"/>
            <w:tcBorders>
              <w:top w:val="nil"/>
              <w:left w:val="nil"/>
              <w:bottom w:val="single" w:sz="8" w:space="0" w:color="auto"/>
              <w:right w:val="single" w:sz="8" w:space="0" w:color="auto"/>
            </w:tcBorders>
            <w:noWrap/>
            <w:tcMar>
              <w:top w:w="0" w:type="dxa"/>
              <w:left w:w="108" w:type="dxa"/>
              <w:bottom w:w="0" w:type="dxa"/>
              <w:right w:w="108" w:type="dxa"/>
            </w:tcMar>
            <w:hideMark/>
          </w:tcPr>
          <w:p w:rsidR="00E276F7" w:rsidRDefault="00E276F7">
            <w:pPr>
              <w:rPr>
                <w:rFonts w:ascii="Calibri" w:hAnsi="Calibri"/>
                <w:sz w:val="20"/>
                <w:szCs w:val="20"/>
              </w:rPr>
            </w:pPr>
            <w:r>
              <w:rPr>
                <w:sz w:val="20"/>
                <w:szCs w:val="20"/>
              </w:rPr>
              <w:t xml:space="preserve">           17.555 </w:t>
            </w:r>
          </w:p>
        </w:tc>
        <w:tc>
          <w:tcPr>
            <w:tcW w:w="2348" w:type="dxa"/>
            <w:tcBorders>
              <w:top w:val="nil"/>
              <w:left w:val="nil"/>
              <w:bottom w:val="single" w:sz="8" w:space="0" w:color="auto"/>
              <w:right w:val="single" w:sz="8" w:space="0" w:color="auto"/>
            </w:tcBorders>
            <w:noWrap/>
            <w:tcMar>
              <w:top w:w="0" w:type="dxa"/>
              <w:left w:w="108" w:type="dxa"/>
              <w:bottom w:w="0" w:type="dxa"/>
              <w:right w:w="108" w:type="dxa"/>
            </w:tcMar>
            <w:hideMark/>
          </w:tcPr>
          <w:p w:rsidR="00E276F7" w:rsidRDefault="00E276F7">
            <w:pPr>
              <w:rPr>
                <w:rFonts w:ascii="Calibri" w:hAnsi="Calibri"/>
                <w:sz w:val="20"/>
                <w:szCs w:val="20"/>
              </w:rPr>
            </w:pPr>
            <w:r>
              <w:rPr>
                <w:sz w:val="20"/>
                <w:szCs w:val="20"/>
              </w:rPr>
              <w:t>Octubre 15 - Diciembre 3</w:t>
            </w:r>
          </w:p>
        </w:tc>
      </w:tr>
    </w:tbl>
    <w:p w:rsidR="00E276F7" w:rsidRDefault="00E276F7" w:rsidP="00E276F7">
      <w:pPr>
        <w:rPr>
          <w:rFonts w:ascii="Calibri" w:hAnsi="Calibri"/>
        </w:rPr>
      </w:pPr>
      <w:r>
        <w:br w:type="textWrapping" w:clear="all"/>
      </w:r>
    </w:p>
    <w:p w:rsidR="00E276F7" w:rsidRPr="00E276F7" w:rsidRDefault="00E276F7" w:rsidP="00E276F7">
      <w:pPr>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Adicionalmente, es importante indicar que los socios de la empresa acordaron incluir vigencias para los certificados expedidos, las cuales se encuentran en la columna “Fecha de Envío”. Esas vigencias están establecidas con el objeto de no afectar las épocas de cosecha nacional.</w:t>
      </w:r>
    </w:p>
    <w:p w:rsidR="00E276F7" w:rsidRPr="00E276F7" w:rsidRDefault="00E276F7" w:rsidP="00E276F7">
      <w:pPr>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Condiciones Comerciales en la negociación de arroz blanco en el TLC Colombia Canadá:</w:t>
      </w:r>
    </w:p>
    <w:p w:rsidR="00E276F7" w:rsidRPr="00E276F7" w:rsidRDefault="00E276F7" w:rsidP="00E276F7">
      <w:pPr>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 xml:space="preserve">•             Colombia mantiene las ventajas competitivas para el arroz durante los primeros seis años de vigencia del Acuerdo, pues el arancel base permanece en 80% hasta 2016. </w:t>
      </w:r>
    </w:p>
    <w:p w:rsidR="00E276F7" w:rsidRPr="00E276F7" w:rsidRDefault="00E276F7" w:rsidP="00E276F7">
      <w:pPr>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             El mercado colombiano del arroz nunca llega a cero arancel para el arroz canadiense. A partir de 2017 comienza una reducción parcial y gradual del arancel durante 16 años. Así, para el arroz Paddy el arancel se disminuye (15 puntos) de 80% a 65% en 2032 y para el arroz descascarillado, blanco y partido se reduce (20 puntos) de 80% a 60% en 2032</w:t>
      </w:r>
    </w:p>
    <w:p w:rsidR="00E276F7" w:rsidRPr="00E276F7" w:rsidRDefault="00E276F7" w:rsidP="00E276F7">
      <w:pPr>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             De acuerdo con lo pactado en el TLC, para importar arroz del Canadá será necesario  pagar un arancel de 65% (Paddy) y de 60%  (blanco)  a partir de 2032.</w:t>
      </w:r>
    </w:p>
    <w:p w:rsidR="00E276F7" w:rsidRPr="00E276F7" w:rsidRDefault="00E276F7" w:rsidP="00E276F7">
      <w:pPr>
        <w:rPr>
          <w:rFonts w:ascii="Arial" w:hAnsi="Arial" w:cs="Arial"/>
          <w:sz w:val="24"/>
        </w:rPr>
      </w:pPr>
    </w:p>
    <w:p w:rsidR="00E276F7" w:rsidRPr="00E276F7" w:rsidRDefault="00E276F7" w:rsidP="00E276F7">
      <w:pPr>
        <w:rPr>
          <w:rFonts w:ascii="Arial" w:hAnsi="Arial" w:cs="Arial"/>
          <w:sz w:val="24"/>
        </w:rPr>
      </w:pPr>
      <w:r w:rsidRPr="00E276F7">
        <w:rPr>
          <w:rFonts w:ascii="Arial" w:hAnsi="Arial" w:cs="Arial"/>
          <w:sz w:val="24"/>
        </w:rPr>
        <w:t>•             En general las condiciones comerciales pactadas generan una oportunidad para que el sector arrocero colombiano fortalezca su nivel de competitividad frente a Canadá, en el caso que ese país  se transformara en exportador de arroz a Colombia, tradición que no es evidente y tiene pocas posibilidades de serlo.</w:t>
      </w:r>
    </w:p>
    <w:p w:rsidR="00E276F7" w:rsidRDefault="00E276F7">
      <w:pPr>
        <w:rPr>
          <w:rFonts w:ascii="Arial" w:hAnsi="Arial" w:cs="Arial"/>
          <w:sz w:val="24"/>
        </w:rPr>
      </w:pPr>
      <w:r>
        <w:rPr>
          <w:rFonts w:ascii="Arial" w:hAnsi="Arial" w:cs="Arial"/>
          <w:sz w:val="24"/>
        </w:rPr>
        <w:br w:type="page"/>
      </w:r>
    </w:p>
    <w:p w:rsidR="00E276F7" w:rsidRPr="00E276F7" w:rsidRDefault="00E276F7" w:rsidP="00E276F7">
      <w:pPr>
        <w:jc w:val="center"/>
        <w:rPr>
          <w:rFonts w:ascii="Arial" w:hAnsi="Arial" w:cs="Arial"/>
          <w:b/>
          <w:sz w:val="28"/>
          <w:lang w:val="es-MX"/>
        </w:rPr>
      </w:pPr>
      <w:r w:rsidRPr="00E276F7">
        <w:rPr>
          <w:rFonts w:ascii="Arial" w:hAnsi="Arial" w:cs="Arial"/>
          <w:b/>
          <w:sz w:val="28"/>
          <w:lang w:val="es-MX"/>
        </w:rPr>
        <w:lastRenderedPageBreak/>
        <w:t>AGRO EN TLC DE EEUU CON PAÍSES DE AMÉRICA LATINA</w:t>
      </w:r>
    </w:p>
    <w:p w:rsidR="00E276F7" w:rsidRPr="00E276F7" w:rsidRDefault="00E276F7" w:rsidP="00E276F7">
      <w:pPr>
        <w:rPr>
          <w:rFonts w:ascii="Arial" w:hAnsi="Arial" w:cs="Arial"/>
          <w:b/>
          <w:sz w:val="24"/>
          <w:lang w:val="es-MX"/>
        </w:rPr>
      </w:pPr>
    </w:p>
    <w:p w:rsidR="00E276F7" w:rsidRPr="00E276F7" w:rsidRDefault="00E276F7" w:rsidP="00E276F7">
      <w:pPr>
        <w:rPr>
          <w:rFonts w:ascii="Arial" w:hAnsi="Arial" w:cs="Arial"/>
          <w:b/>
          <w:sz w:val="24"/>
          <w:lang w:val="es-MX"/>
        </w:rPr>
      </w:pPr>
      <w:r w:rsidRPr="00E276F7">
        <w:rPr>
          <w:rFonts w:ascii="Arial" w:hAnsi="Arial" w:cs="Arial"/>
          <w:b/>
          <w:sz w:val="24"/>
          <w:lang w:val="es-MX"/>
        </w:rPr>
        <w:t>TLC Chile-Estados Unidos</w:t>
      </w:r>
      <w:r w:rsidRPr="00E276F7">
        <w:rPr>
          <w:rStyle w:val="Refdenotaalpie"/>
          <w:rFonts w:ascii="Arial" w:hAnsi="Arial" w:cs="Arial"/>
          <w:b/>
          <w:sz w:val="24"/>
          <w:lang w:val="es-MX"/>
        </w:rPr>
        <w:footnoteReference w:id="1"/>
      </w:r>
      <w:r w:rsidRPr="00E276F7">
        <w:rPr>
          <w:rFonts w:ascii="Arial" w:hAnsi="Arial" w:cs="Arial"/>
          <w:b/>
          <w:sz w:val="24"/>
          <w:lang w:val="es-MX"/>
        </w:rPr>
        <w:t>.</w:t>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El 1° de enero de 2013 el Tratado cumplió 9 años desde su entrada en vigencia, con ello comenzó su décimo año de implementación.</w:t>
      </w:r>
      <w:r w:rsidRPr="00E276F7">
        <w:rPr>
          <w:rFonts w:ascii="Arial" w:hAnsi="Arial" w:cs="Arial"/>
          <w:sz w:val="24"/>
        </w:rPr>
        <w:t xml:space="preserve"> </w:t>
      </w:r>
      <w:r w:rsidRPr="00E276F7">
        <w:rPr>
          <w:rFonts w:ascii="Arial" w:hAnsi="Arial" w:cs="Arial"/>
          <w:sz w:val="24"/>
          <w:lang w:val="es-MX"/>
        </w:rPr>
        <w:t xml:space="preserve">Las exportaciones totales chilenas a EE.UU. totalizaron US$ 9.047 millones durante el 2011, con un aumento de 32% respecto del año anterior. </w:t>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Del total exportado, un 18% correspondió a frutas por un monto de US$ 1.635 millones, lo que equivale al 38% del total de las exportaciones de frutas chilenas al mundo, y una expansión anual del 5%.</w:t>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Las exportaciones de alimentos procesados (excluyendo salmón) acumularon US$656 millones en el periodo, lo que significa el 11% de las exportaciones chilenas de estos productos, con una expansión anual de 11%. Finalmente, destacan también las exportaciones de salmón, las que acumularon US$598 millones, representando el 7% del total y el 32% del total de salmones exportados al mundo, liderando las compras de este producto, con una expansión anual del 88%.</w:t>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Destacado las exportaciones de uvas a Estados Unidos que en 2003 eran US$477 millones y en 2011 fueron US$703 millones</w:t>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Las importaciones totales, por su parte, totalizaron US$ 15.092 millones en el año 2011, exhibiendo una expansión del 51% respecto del año anterior.</w:t>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b/>
          <w:sz w:val="24"/>
          <w:lang w:val="es-MX"/>
        </w:rPr>
      </w:pPr>
      <w:r w:rsidRPr="00E276F7">
        <w:rPr>
          <w:rFonts w:ascii="Arial" w:hAnsi="Arial" w:cs="Arial"/>
          <w:b/>
          <w:sz w:val="24"/>
          <w:lang w:val="es-MX"/>
        </w:rPr>
        <w:t>TLC Perú- Estados Unidos</w:t>
      </w:r>
      <w:r w:rsidRPr="00E276F7">
        <w:rPr>
          <w:rStyle w:val="Refdenotaalpie"/>
          <w:rFonts w:ascii="Arial" w:hAnsi="Arial" w:cs="Arial"/>
          <w:b/>
          <w:sz w:val="24"/>
          <w:lang w:val="es-MX"/>
        </w:rPr>
        <w:footnoteReference w:id="2"/>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Comenzó en febrero de 2009.  Datos globales indican que las exportaciones de Perú a Estados Unidos en 2012 fueron US$6.030 millones, para un aumento de 0,1% respecto al 2011.</w:t>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El 18,4% del total de las exportaciones fueron agropecuarias (US$1.111,4 millones), las cuales se redujeron en 11,2% respecto al 2011.</w:t>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En general, en las exportaciones agropecuarias del Perú a Estados Unidos  se han destacado productos como café que antes del Acuerdo (2008) se exportaron US$158 millones y en 2012 pese a los bajos precios del grano se exportaron US$185 millones.</w:t>
      </w:r>
    </w:p>
    <w:p w:rsidR="00E276F7" w:rsidRPr="00E276F7" w:rsidRDefault="00E276F7" w:rsidP="00E276F7">
      <w:pPr>
        <w:rPr>
          <w:rFonts w:ascii="Arial" w:hAnsi="Arial" w:cs="Arial"/>
          <w:sz w:val="24"/>
          <w:lang w:val="es-MX"/>
        </w:rPr>
      </w:pPr>
    </w:p>
    <w:p w:rsidR="00E276F7" w:rsidRDefault="00E276F7" w:rsidP="00E276F7">
      <w:pPr>
        <w:rPr>
          <w:rFonts w:ascii="Arial" w:hAnsi="Arial" w:cs="Arial"/>
          <w:sz w:val="24"/>
          <w:lang w:val="es-MX"/>
        </w:rPr>
      </w:pPr>
      <w:r w:rsidRPr="00E276F7">
        <w:rPr>
          <w:rFonts w:ascii="Arial" w:hAnsi="Arial" w:cs="Arial"/>
          <w:sz w:val="24"/>
          <w:lang w:val="es-MX"/>
        </w:rPr>
        <w:t>Las exportaciones de espárragos pasaron de US$144 millones a US$208 millones, en similar período de referencia. Las uvas pasaron de US$20 millones a US$67 millones.</w:t>
      </w:r>
    </w:p>
    <w:p w:rsidR="00E276F7" w:rsidRPr="00E276F7" w:rsidRDefault="00E276F7" w:rsidP="00E276F7">
      <w:pPr>
        <w:rPr>
          <w:rFonts w:ascii="Arial" w:hAnsi="Arial" w:cs="Arial"/>
          <w:b/>
          <w:sz w:val="24"/>
          <w:lang w:val="es-MX"/>
        </w:rPr>
      </w:pPr>
      <w:r w:rsidRPr="00E276F7">
        <w:rPr>
          <w:rFonts w:ascii="Arial" w:hAnsi="Arial" w:cs="Arial"/>
          <w:b/>
          <w:sz w:val="24"/>
          <w:lang w:val="es-MX"/>
        </w:rPr>
        <w:lastRenderedPageBreak/>
        <w:t>México</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México es el líder en la exportación de frutas y hortalizas hacia EE.UU, especializándose en la producción de granos y oleaginosas. La participación del comercio en el PIB pasó de 24% en 1993 a 58% en 2011.</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Desde 1994 a 2007 el PIB agropecuario ha aumentado a un ritmo de crecimiento entre el 4 y 5.5%. Con un aumento en el sector agrícola, aunque con fluctuaciones por su carácter estacional, y un crecimiento en el sector ganadero.</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Según datos del Banco Central de México, la Balanza Comercial Agropecuaria y Agroindustrial registró en 2009 un déficit de US$290,9 millones y en el año siguiente registró un déficit de US$286,1 presentando una variación de -1,7%.</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Las exportaciones agropecuarias en 2010 se situaron en un valor de US$670,8 millones con un crecimiento de 6,3% respecto al 2009. Las importaciones de estos productos se situaron en un valor de US$657,9 millones con una desaceleración de 2,6% respecto al 2009.</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El caso del maíz en México según datos de la FAO muestra lo siguiente: en 1992 México registró una producción de 16.9 millones toneladas, para 1995, un año después de la firma del TLC con Estados Unidos y Canadá, la producción se situó en 18.4 millones de toneladas. Para el año 2008 la producción de este producto fue de 24.3 millones de toneladas y en 2011 registró una producción de 17.6 millones de toneladas.</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En cuanto a los cárnicos, en 2011 México registró una producción de 2 millones de toneladas de carne vacuna, 1.4 millones de toneladas por encima de lo registrado en 1992. En 1995 la producción se situó en 1.7 millones de toneladas.</w:t>
      </w:r>
    </w:p>
    <w:p w:rsidR="00E276F7" w:rsidRPr="00E276F7" w:rsidRDefault="00E276F7" w:rsidP="00E276F7">
      <w:pPr>
        <w:rPr>
          <w:rFonts w:ascii="Arial" w:hAnsi="Arial" w:cs="Arial"/>
          <w:sz w:val="24"/>
          <w:lang w:val="es-MX"/>
        </w:rPr>
      </w:pPr>
    </w:p>
    <w:p w:rsidR="00E276F7" w:rsidRPr="00E276F7" w:rsidRDefault="00E276F7" w:rsidP="00E276F7">
      <w:pPr>
        <w:rPr>
          <w:rFonts w:ascii="Arial" w:hAnsi="Arial" w:cs="Arial"/>
          <w:b/>
          <w:sz w:val="24"/>
          <w:lang w:val="es-MX"/>
        </w:rPr>
      </w:pPr>
      <w:r w:rsidRPr="00E276F7">
        <w:rPr>
          <w:rFonts w:ascii="Arial" w:hAnsi="Arial" w:cs="Arial"/>
          <w:b/>
          <w:sz w:val="24"/>
          <w:lang w:val="es-MX"/>
        </w:rPr>
        <w:t>Perú</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Según datos de las estadísticas de la FAO, la producción de arroz en Perú pasó de producir 2.3 millones de toneladas en 2007 a producir en 2011, dos años después de firmado el TLC con Estados Unidos, 2.6 millones de toneladas. En 2010 la producción de arroz fue de 2.8 millones de toneladas.</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Según datos de la FAO, en 2007, Perú registró una producción de 3.4 millones de toneladas de papa (patatas) y dos años después (2011) de la firma del TLC con Estados Unidos su producción de este producto se situó en 4.1 millones de toneladas con un crecimiento de 6,8% frente al 2010. Continuando así con el crecimiento en la producción de este tubérculo.</w:t>
      </w:r>
    </w:p>
    <w:p w:rsidR="00E276F7" w:rsidRDefault="00E276F7" w:rsidP="00E276F7">
      <w:pPr>
        <w:rPr>
          <w:rFonts w:ascii="Arial" w:hAnsi="Arial" w:cs="Arial"/>
          <w:sz w:val="24"/>
          <w:lang w:val="es-MX"/>
        </w:rPr>
      </w:pPr>
    </w:p>
    <w:p w:rsidR="00E276F7" w:rsidRPr="00E276F7" w:rsidRDefault="00E276F7" w:rsidP="00E276F7">
      <w:pPr>
        <w:rPr>
          <w:rFonts w:ascii="Arial" w:hAnsi="Arial" w:cs="Arial"/>
          <w:b/>
          <w:sz w:val="24"/>
          <w:lang w:val="es-MX"/>
        </w:rPr>
      </w:pPr>
      <w:r w:rsidRPr="00E276F7">
        <w:rPr>
          <w:rFonts w:ascii="Arial" w:hAnsi="Arial" w:cs="Arial"/>
          <w:b/>
          <w:sz w:val="24"/>
          <w:lang w:val="es-MX"/>
        </w:rPr>
        <w:t>Costa Rica</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 xml:space="preserve">Según datos de la FAO, el producto más importante para Costa Rica es el banano. Para 2005 la producción de este producto fue de 1.9 millones de toneladas. En </w:t>
      </w:r>
      <w:r w:rsidRPr="00E276F7">
        <w:rPr>
          <w:rFonts w:ascii="Arial" w:hAnsi="Arial" w:cs="Arial"/>
          <w:sz w:val="24"/>
          <w:lang w:val="es-MX"/>
        </w:rPr>
        <w:lastRenderedPageBreak/>
        <w:t>2007, un año después de la firma del TLC con Estados Unidos, la producción se situó en 2.1 millones de toneladas. Para 2011 la producción alcanzó un valor de 1.9 millones de toneladas.</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La producción de piña tropical en 2005 se situó en 1.6 millones de toneladas. En 2007, la producción de este producto fue de 1.5 millones de toneladas y para 2011 la producción alcanzó un valor de 2.3 millones de toneladas.</w:t>
      </w:r>
    </w:p>
    <w:p w:rsidR="00E276F7" w:rsidRDefault="00E276F7" w:rsidP="00E276F7">
      <w:pPr>
        <w:rPr>
          <w:rFonts w:ascii="Arial" w:hAnsi="Arial" w:cs="Arial"/>
          <w:sz w:val="24"/>
          <w:lang w:val="es-MX"/>
        </w:rPr>
      </w:pPr>
    </w:p>
    <w:p w:rsidR="00E276F7" w:rsidRPr="00E276F7" w:rsidRDefault="00E276F7" w:rsidP="00E276F7">
      <w:pPr>
        <w:rPr>
          <w:rFonts w:ascii="Arial" w:hAnsi="Arial" w:cs="Arial"/>
          <w:b/>
          <w:sz w:val="24"/>
          <w:lang w:val="es-MX"/>
        </w:rPr>
      </w:pPr>
      <w:r w:rsidRPr="00E276F7">
        <w:rPr>
          <w:rFonts w:ascii="Arial" w:hAnsi="Arial" w:cs="Arial"/>
          <w:b/>
          <w:sz w:val="24"/>
          <w:lang w:val="es-MX"/>
        </w:rPr>
        <w:t>Honduras</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Según datos de la FAO, la producción de caña de azúcar en 2005 fue de 5.6 millones de toneladas, en 2007, un año después de la firma del TLC con Estados Unidos la producción de este bien se situó en 6.1 millones de toneladas y para 2011 la producción registrada fue de 7.8 millones de toneladas.</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La producción de banano en 2005 se situó en un valor de 887 mil toneladas, en 2007 la producción alcanzó las 690 mil toneladas y en 2011 se situó en 755 mil toneladas.</w:t>
      </w:r>
    </w:p>
    <w:p w:rsidR="00E276F7" w:rsidRDefault="00E276F7" w:rsidP="00E276F7">
      <w:pPr>
        <w:rPr>
          <w:rFonts w:ascii="Arial" w:hAnsi="Arial" w:cs="Arial"/>
          <w:sz w:val="24"/>
          <w:lang w:val="es-MX"/>
        </w:rPr>
      </w:pPr>
    </w:p>
    <w:p w:rsidR="00E276F7" w:rsidRPr="00E276F7" w:rsidRDefault="00E276F7" w:rsidP="00E276F7">
      <w:pPr>
        <w:rPr>
          <w:rFonts w:ascii="Arial" w:hAnsi="Arial" w:cs="Arial"/>
          <w:b/>
          <w:sz w:val="24"/>
          <w:lang w:val="es-MX"/>
        </w:rPr>
      </w:pPr>
      <w:r w:rsidRPr="00E276F7">
        <w:rPr>
          <w:rFonts w:ascii="Arial" w:hAnsi="Arial" w:cs="Arial"/>
          <w:b/>
          <w:sz w:val="24"/>
          <w:lang w:val="es-MX"/>
        </w:rPr>
        <w:t>Guatemala</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La producción de banano en este país para 2005 fue de 1.2 millones de toneladas, pasando, después de un año de firmado el TLC con Estados Unidos, en 2007 a un valor de 2.2 millones de toneladas, y finalmente en 2011, se situó en un valor de 2.7 millones de toneladas.</w:t>
      </w:r>
    </w:p>
    <w:p w:rsidR="00E276F7" w:rsidRDefault="00E276F7" w:rsidP="00E276F7">
      <w:pPr>
        <w:rPr>
          <w:rFonts w:ascii="Arial" w:hAnsi="Arial" w:cs="Arial"/>
          <w:sz w:val="24"/>
          <w:lang w:val="es-MX"/>
        </w:rPr>
      </w:pPr>
    </w:p>
    <w:p w:rsidR="00E276F7" w:rsidRPr="00E276F7" w:rsidRDefault="00E276F7" w:rsidP="00E276F7">
      <w:pPr>
        <w:rPr>
          <w:rFonts w:ascii="Arial" w:hAnsi="Arial" w:cs="Arial"/>
          <w:sz w:val="24"/>
          <w:lang w:val="es-MX"/>
        </w:rPr>
      </w:pPr>
      <w:r w:rsidRPr="00E276F7">
        <w:rPr>
          <w:rFonts w:ascii="Arial" w:hAnsi="Arial" w:cs="Arial"/>
          <w:sz w:val="24"/>
          <w:lang w:val="es-MX"/>
        </w:rPr>
        <w:t>En 2012 fueron importantes las ventas de cebollas a Estados Unidos por US$38 millones, con un crecimiento de 51% respecto al 2011; así mismo, las exportaciones de mangos por US$35 millones, aunque se redujeron en 6% respecto al año anterior.</w:t>
      </w:r>
    </w:p>
    <w:p w:rsidR="00E276F7" w:rsidRPr="00E276F7" w:rsidRDefault="00E276F7" w:rsidP="00E276F7">
      <w:pPr>
        <w:rPr>
          <w:rFonts w:ascii="Arial" w:hAnsi="Arial" w:cs="Arial"/>
          <w:sz w:val="24"/>
          <w:lang w:val="es-MX"/>
        </w:rPr>
      </w:pPr>
    </w:p>
    <w:p w:rsidR="00950300" w:rsidRDefault="00950300">
      <w:pPr>
        <w:rPr>
          <w:rFonts w:ascii="Arial" w:hAnsi="Arial" w:cs="Arial"/>
          <w:sz w:val="28"/>
          <w:lang w:val="es-MX"/>
        </w:rPr>
      </w:pPr>
      <w:r>
        <w:rPr>
          <w:rFonts w:ascii="Arial" w:hAnsi="Arial" w:cs="Arial"/>
          <w:sz w:val="28"/>
          <w:lang w:val="es-MX"/>
        </w:rPr>
        <w:br w:type="page"/>
      </w:r>
    </w:p>
    <w:p w:rsidR="00D94D1F" w:rsidRPr="00950300" w:rsidRDefault="00950300" w:rsidP="00CB4D8C">
      <w:pPr>
        <w:spacing w:line="360" w:lineRule="auto"/>
        <w:rPr>
          <w:rFonts w:ascii="Arial" w:hAnsi="Arial" w:cs="Arial"/>
          <w:b/>
          <w:sz w:val="28"/>
          <w:lang w:val="es-MX"/>
        </w:rPr>
      </w:pPr>
      <w:r>
        <w:rPr>
          <w:rFonts w:ascii="Arial" w:hAnsi="Arial" w:cs="Arial"/>
          <w:b/>
          <w:sz w:val="28"/>
          <w:lang w:val="es-MX"/>
        </w:rPr>
        <w:lastRenderedPageBreak/>
        <w:t>REBAJA DE ARANCELES A PLAGUICIDAS Y FERTILIZANTES</w:t>
      </w:r>
    </w:p>
    <w:p w:rsidR="00950300" w:rsidRDefault="00950300" w:rsidP="00CB4D8C">
      <w:pPr>
        <w:spacing w:line="360" w:lineRule="auto"/>
        <w:rPr>
          <w:rFonts w:ascii="Arial" w:hAnsi="Arial" w:cs="Arial"/>
          <w:sz w:val="28"/>
          <w:lang w:val="es-MX"/>
        </w:rPr>
      </w:pPr>
    </w:p>
    <w:p w:rsidR="00950300" w:rsidRDefault="00950300" w:rsidP="00CB4D8C">
      <w:pPr>
        <w:spacing w:line="360" w:lineRule="auto"/>
        <w:rPr>
          <w:rFonts w:ascii="Arial" w:hAnsi="Arial" w:cs="Arial"/>
          <w:sz w:val="28"/>
          <w:lang w:val="es-MX"/>
        </w:rPr>
      </w:pPr>
      <w:r w:rsidRPr="00950300">
        <w:rPr>
          <w:rFonts w:ascii="Arial" w:hAnsi="Arial" w:cs="Arial"/>
          <w:sz w:val="28"/>
          <w:lang w:val="es-MX"/>
        </w:rPr>
        <w:t>•</w:t>
      </w:r>
      <w:r w:rsidRPr="00950300">
        <w:rPr>
          <w:rFonts w:ascii="Arial" w:hAnsi="Arial" w:cs="Arial"/>
          <w:sz w:val="28"/>
          <w:lang w:val="es-MX"/>
        </w:rPr>
        <w:tab/>
        <w:t>Costo fiscal de la rebaja de aranceles de plaguicidas y fertilizantes en 2012: US$72 millones</w:t>
      </w:r>
    </w:p>
    <w:p w:rsidR="008647DC" w:rsidRDefault="008647DC" w:rsidP="00CB4D8C">
      <w:pPr>
        <w:spacing w:line="360" w:lineRule="auto"/>
        <w:rPr>
          <w:rFonts w:ascii="Arial" w:hAnsi="Arial" w:cs="Arial"/>
          <w:sz w:val="28"/>
          <w:lang w:val="es-MX"/>
        </w:rPr>
      </w:pPr>
    </w:p>
    <w:p w:rsidR="008647DC" w:rsidRDefault="008647DC">
      <w:pPr>
        <w:rPr>
          <w:rFonts w:ascii="Arial" w:hAnsi="Arial" w:cs="Arial"/>
          <w:sz w:val="28"/>
          <w:lang w:val="es-MX"/>
        </w:rPr>
      </w:pPr>
      <w:r>
        <w:rPr>
          <w:rFonts w:ascii="Arial" w:hAnsi="Arial" w:cs="Arial"/>
          <w:sz w:val="28"/>
          <w:lang w:val="es-MX"/>
        </w:rPr>
        <w:br w:type="page"/>
      </w:r>
    </w:p>
    <w:p w:rsidR="008647DC" w:rsidRPr="008647DC" w:rsidRDefault="008647DC" w:rsidP="008647DC">
      <w:pPr>
        <w:spacing w:line="360" w:lineRule="auto"/>
        <w:jc w:val="center"/>
        <w:rPr>
          <w:rFonts w:ascii="Arial" w:hAnsi="Arial" w:cs="Arial"/>
          <w:b/>
          <w:sz w:val="28"/>
          <w:lang w:val="es-MX"/>
        </w:rPr>
      </w:pPr>
      <w:r w:rsidRPr="008647DC">
        <w:rPr>
          <w:rFonts w:ascii="Arial" w:hAnsi="Arial" w:cs="Arial"/>
          <w:b/>
          <w:sz w:val="28"/>
          <w:lang w:val="es-MX"/>
        </w:rPr>
        <w:lastRenderedPageBreak/>
        <w:t>MODIFICAR LA CAN</w:t>
      </w:r>
    </w:p>
    <w:p w:rsidR="008647DC" w:rsidRDefault="008647DC" w:rsidP="008647DC">
      <w:pPr>
        <w:rPr>
          <w:rFonts w:ascii="Arial" w:hAnsi="Arial" w:cs="Arial"/>
          <w:sz w:val="24"/>
          <w:szCs w:val="24"/>
        </w:rPr>
      </w:pPr>
    </w:p>
    <w:p w:rsidR="008647DC" w:rsidRPr="008647DC" w:rsidRDefault="008647DC" w:rsidP="008647DC">
      <w:pPr>
        <w:rPr>
          <w:rFonts w:ascii="Arial" w:hAnsi="Arial" w:cs="Arial"/>
          <w:sz w:val="24"/>
          <w:szCs w:val="24"/>
        </w:rPr>
      </w:pPr>
      <w:r w:rsidRPr="008647DC">
        <w:rPr>
          <w:rFonts w:ascii="Arial" w:hAnsi="Arial" w:cs="Arial"/>
          <w:b/>
          <w:sz w:val="24"/>
          <w:szCs w:val="24"/>
        </w:rPr>
        <w:t>OALI</w:t>
      </w:r>
      <w:r>
        <w:rPr>
          <w:rFonts w:ascii="Arial" w:hAnsi="Arial" w:cs="Arial"/>
          <w:sz w:val="24"/>
          <w:szCs w:val="24"/>
        </w:rPr>
        <w:t xml:space="preserve">: </w:t>
      </w:r>
      <w:r w:rsidRPr="008647DC">
        <w:rPr>
          <w:rFonts w:ascii="Arial" w:hAnsi="Arial" w:cs="Arial"/>
          <w:sz w:val="24"/>
          <w:szCs w:val="24"/>
        </w:rPr>
        <w:t>Modificar la CAN significa modificar su estructura institucional y sus instrumentos normativos. Actualmente los órganos e instituciones de la CAN forman el conocido Sistema Andino de Integración SAI. Dicha estructura está consagrada en el Acuerdo de Cartagena y en otros tratados internacionales como el de creación del Tribunal de Justicia de la CAN y el Parlamento Andino.  El funcionamiento de dichos órganos y del programa de integración esta principalmente establecido en esos tratados y en las normas de derech</w:t>
      </w:r>
      <w:r w:rsidR="00A74DC5">
        <w:rPr>
          <w:rFonts w:ascii="Arial" w:hAnsi="Arial" w:cs="Arial"/>
          <w:sz w:val="24"/>
          <w:szCs w:val="24"/>
        </w:rPr>
        <w:t>o derivado que los desarrolla (</w:t>
      </w:r>
      <w:r w:rsidRPr="008647DC">
        <w:rPr>
          <w:rFonts w:ascii="Arial" w:hAnsi="Arial" w:cs="Arial"/>
          <w:sz w:val="24"/>
          <w:szCs w:val="24"/>
        </w:rPr>
        <w:t xml:space="preserve">Decisiones del Consejo de Ministros de Relaciones Exteriores y Decisiones de la Comisión de la CAN, Resoluciones de la Secretaría General de la CAN, entre otras). Estas normas son leyes nacionales en sentido estricto al tener aplicación directa, primacía e intangibilidad. </w:t>
      </w:r>
    </w:p>
    <w:p w:rsidR="008647DC" w:rsidRPr="008647DC" w:rsidRDefault="008647DC" w:rsidP="008647DC">
      <w:pPr>
        <w:rPr>
          <w:rFonts w:ascii="Arial" w:hAnsi="Arial" w:cs="Arial"/>
          <w:sz w:val="24"/>
          <w:szCs w:val="24"/>
        </w:rPr>
      </w:pPr>
    </w:p>
    <w:p w:rsidR="008647DC" w:rsidRDefault="008647DC" w:rsidP="008647DC">
      <w:pPr>
        <w:rPr>
          <w:rFonts w:ascii="Arial" w:hAnsi="Arial" w:cs="Arial"/>
          <w:sz w:val="24"/>
          <w:szCs w:val="24"/>
        </w:rPr>
      </w:pPr>
      <w:r w:rsidRPr="008647DC">
        <w:rPr>
          <w:rFonts w:ascii="Arial" w:hAnsi="Arial" w:cs="Arial"/>
          <w:sz w:val="24"/>
          <w:szCs w:val="24"/>
        </w:rPr>
        <w:t>La última modificación sustancial de la CAN se dio a partir del Protocolo de Trujillo mediante el cual se modificó el Acuerdo de Cartagena en los años 90s (96-97), este Protocolo y sus instrumentos complementarios (Sucre) implicaron la adopción  de  tratados internacionales con el consecuente cumplimiento del trámite interno para la aprobación de tratados. Posteriormente se modificaron las normas de derecho derivado correspondientes.</w:t>
      </w:r>
    </w:p>
    <w:p w:rsidR="008647DC" w:rsidRPr="008647DC" w:rsidRDefault="008647DC" w:rsidP="008647DC">
      <w:pPr>
        <w:rPr>
          <w:rFonts w:ascii="Arial" w:hAnsi="Arial" w:cs="Arial"/>
          <w:sz w:val="24"/>
          <w:szCs w:val="24"/>
        </w:rPr>
      </w:pPr>
    </w:p>
    <w:p w:rsidR="00A74DC5" w:rsidRPr="00A74DC5" w:rsidRDefault="00A74DC5" w:rsidP="008647DC">
      <w:pPr>
        <w:rPr>
          <w:rFonts w:ascii="Arial" w:hAnsi="Arial" w:cs="Arial"/>
          <w:b/>
          <w:sz w:val="24"/>
          <w:szCs w:val="24"/>
        </w:rPr>
      </w:pPr>
      <w:r w:rsidRPr="00A74DC5">
        <w:rPr>
          <w:rFonts w:ascii="Arial" w:hAnsi="Arial" w:cs="Arial"/>
          <w:b/>
          <w:sz w:val="24"/>
          <w:szCs w:val="24"/>
        </w:rPr>
        <w:t>DIRECCIÓN INTEGRACIÓN ECONÓMICA</w:t>
      </w:r>
    </w:p>
    <w:p w:rsidR="00A74DC5" w:rsidRDefault="00A74DC5" w:rsidP="008647DC">
      <w:pPr>
        <w:rPr>
          <w:rFonts w:ascii="Arial" w:hAnsi="Arial" w:cs="Arial"/>
          <w:b/>
          <w:sz w:val="24"/>
          <w:szCs w:val="24"/>
        </w:rPr>
      </w:pPr>
    </w:p>
    <w:p w:rsidR="008647DC" w:rsidRPr="008647DC" w:rsidRDefault="008647DC" w:rsidP="008647DC">
      <w:pPr>
        <w:rPr>
          <w:rFonts w:ascii="Arial" w:hAnsi="Arial" w:cs="Arial"/>
          <w:b/>
          <w:sz w:val="24"/>
          <w:szCs w:val="24"/>
        </w:rPr>
      </w:pPr>
      <w:r w:rsidRPr="008647DC">
        <w:rPr>
          <w:rFonts w:ascii="Arial" w:hAnsi="Arial" w:cs="Arial"/>
          <w:b/>
          <w:sz w:val="24"/>
          <w:szCs w:val="24"/>
        </w:rPr>
        <w:t xml:space="preserve">¿Qué significa modificar la CAN? </w:t>
      </w:r>
    </w:p>
    <w:p w:rsidR="008647DC" w:rsidRPr="008647DC" w:rsidRDefault="008647DC" w:rsidP="008647DC">
      <w:pPr>
        <w:rPr>
          <w:rFonts w:ascii="Arial" w:hAnsi="Arial" w:cs="Arial"/>
          <w:sz w:val="24"/>
          <w:szCs w:val="24"/>
        </w:rPr>
      </w:pPr>
    </w:p>
    <w:p w:rsidR="008647DC" w:rsidRPr="008647DC" w:rsidRDefault="008647DC" w:rsidP="008647DC">
      <w:pPr>
        <w:rPr>
          <w:rFonts w:ascii="Arial" w:hAnsi="Arial" w:cs="Arial"/>
          <w:sz w:val="24"/>
          <w:szCs w:val="24"/>
        </w:rPr>
      </w:pPr>
      <w:r w:rsidRPr="008647DC">
        <w:rPr>
          <w:rFonts w:ascii="Arial" w:hAnsi="Arial" w:cs="Arial"/>
          <w:sz w:val="24"/>
          <w:szCs w:val="24"/>
        </w:rPr>
        <w:t>Establecer un nuevo modelo de relacionamiento, interoperabilidad y especialización entre las instituciones que conforman el Sistema Andino de Integración (SAI) para direccionarlo a la realidad del comercio internacional y su interacción con los demás bloques comerciales, permitiendo a los países miembros consolidarse como un bloque armónico, agresivo y sólido, conservando la institucionalidad solo en aquellas entidades que aportan significativos avances al proceso de integración andino.</w:t>
      </w:r>
    </w:p>
    <w:p w:rsidR="008647DC" w:rsidRPr="008647DC" w:rsidRDefault="008647DC" w:rsidP="008647DC">
      <w:pPr>
        <w:rPr>
          <w:rFonts w:ascii="Arial" w:hAnsi="Arial" w:cs="Arial"/>
          <w:b/>
          <w:i/>
          <w:sz w:val="24"/>
          <w:szCs w:val="24"/>
        </w:rPr>
      </w:pPr>
    </w:p>
    <w:p w:rsidR="008647DC" w:rsidRPr="008647DC" w:rsidRDefault="008647DC" w:rsidP="008647DC">
      <w:pPr>
        <w:rPr>
          <w:rFonts w:ascii="Arial" w:hAnsi="Arial" w:cs="Arial"/>
          <w:sz w:val="24"/>
          <w:szCs w:val="24"/>
        </w:rPr>
      </w:pPr>
      <w:r w:rsidRPr="008647DC">
        <w:rPr>
          <w:rFonts w:ascii="Arial" w:hAnsi="Arial" w:cs="Arial"/>
          <w:sz w:val="24"/>
          <w:szCs w:val="24"/>
        </w:rPr>
        <w:t>Tal como lo acordaron los presidentes de los Países Miembros de la CAN en el año 2011 y quedó plasmado en los considerandos de la Decisión 773 “Reingeniería del Sistema Andino de Integración”,  se busca fortalecer y dar un renovado dinamismo al proceso andino de integración, para lo cual se emprendió un proceso de revisión y reingeniería de la estructura institucional y funcionamiento del Sistema Andino de Integración SAI,  con el fin de adecuar la Comunidad Andina CAN a los retos del actual contexto internacional.</w:t>
      </w:r>
    </w:p>
    <w:p w:rsidR="008647DC" w:rsidRPr="008647DC" w:rsidRDefault="008647DC" w:rsidP="008647DC">
      <w:pPr>
        <w:rPr>
          <w:rFonts w:ascii="Arial" w:hAnsi="Arial" w:cs="Arial"/>
          <w:sz w:val="24"/>
          <w:szCs w:val="24"/>
        </w:rPr>
      </w:pPr>
    </w:p>
    <w:p w:rsidR="008647DC" w:rsidRPr="008647DC" w:rsidRDefault="008647DC" w:rsidP="008647DC">
      <w:pPr>
        <w:rPr>
          <w:rFonts w:ascii="Arial" w:hAnsi="Arial" w:cs="Arial"/>
          <w:sz w:val="24"/>
          <w:szCs w:val="24"/>
        </w:rPr>
      </w:pPr>
      <w:r w:rsidRPr="008647DC">
        <w:rPr>
          <w:rFonts w:ascii="Arial" w:hAnsi="Arial" w:cs="Arial"/>
          <w:sz w:val="24"/>
          <w:szCs w:val="24"/>
        </w:rPr>
        <w:t>Con el mismo fin y previa aprobación de los Países Miembros,  a finales de 2012, la Secretaría General de la CAN contrató los servicios de la Fundación Getulio Vargas y de la CEPAL, encargados de elaborar los estudios que permitan lograr este objetivo. Los resultados de estos estudios serán conocidos a mediados del año 2013.</w:t>
      </w:r>
    </w:p>
    <w:p w:rsidR="008647DC" w:rsidRPr="008647DC" w:rsidRDefault="008647DC" w:rsidP="008647DC">
      <w:pPr>
        <w:rPr>
          <w:rFonts w:ascii="Arial" w:hAnsi="Arial" w:cs="Arial"/>
          <w:b/>
          <w:i/>
          <w:color w:val="000000"/>
          <w:sz w:val="24"/>
          <w:szCs w:val="24"/>
        </w:rPr>
      </w:pPr>
    </w:p>
    <w:p w:rsidR="008647DC" w:rsidRPr="008647DC" w:rsidRDefault="008647DC" w:rsidP="008647DC">
      <w:pPr>
        <w:rPr>
          <w:rFonts w:ascii="Arial" w:hAnsi="Arial" w:cs="Arial"/>
          <w:b/>
          <w:sz w:val="24"/>
          <w:szCs w:val="24"/>
        </w:rPr>
      </w:pPr>
      <w:r w:rsidRPr="008647DC">
        <w:rPr>
          <w:rFonts w:ascii="Arial" w:hAnsi="Arial" w:cs="Arial"/>
          <w:b/>
          <w:sz w:val="24"/>
          <w:szCs w:val="24"/>
        </w:rPr>
        <w:t xml:space="preserve">¿Qué tan fácil o difícil es? </w:t>
      </w:r>
    </w:p>
    <w:p w:rsidR="008647DC" w:rsidRPr="008647DC" w:rsidRDefault="008647DC" w:rsidP="008647DC">
      <w:pPr>
        <w:rPr>
          <w:rFonts w:ascii="Arial" w:hAnsi="Arial" w:cs="Arial"/>
          <w:sz w:val="24"/>
          <w:szCs w:val="24"/>
        </w:rPr>
      </w:pPr>
    </w:p>
    <w:p w:rsidR="008647DC" w:rsidRPr="008647DC" w:rsidRDefault="008647DC" w:rsidP="008647DC">
      <w:pPr>
        <w:rPr>
          <w:rFonts w:ascii="Arial" w:hAnsi="Arial" w:cs="Arial"/>
          <w:sz w:val="24"/>
          <w:szCs w:val="24"/>
        </w:rPr>
      </w:pPr>
      <w:r w:rsidRPr="008647DC">
        <w:rPr>
          <w:rFonts w:ascii="Arial" w:hAnsi="Arial" w:cs="Arial"/>
          <w:sz w:val="24"/>
          <w:szCs w:val="24"/>
        </w:rPr>
        <w:t>Todo cambio genera resistencia y cambiar el rumbo y la institucionalidad del Sistema Andino de Integración no ha sido tarea fácil, su concepción data de la década de los años 60 con una vida de aproximadamente 44 años en el ámbito regional, sin embargo los países miembros nos comprometimos a adelantar los ajustes que garanticen la modernidad  del sistema y su re-direccionamiento a la realidad comercial.</w:t>
      </w:r>
    </w:p>
    <w:p w:rsidR="008647DC" w:rsidRPr="008647DC" w:rsidRDefault="008647DC" w:rsidP="008647DC">
      <w:pPr>
        <w:rPr>
          <w:rFonts w:ascii="Arial" w:hAnsi="Arial" w:cs="Arial"/>
          <w:sz w:val="24"/>
          <w:szCs w:val="24"/>
        </w:rPr>
      </w:pPr>
    </w:p>
    <w:p w:rsidR="008647DC" w:rsidRPr="008647DC" w:rsidRDefault="008647DC" w:rsidP="008647DC">
      <w:pPr>
        <w:rPr>
          <w:rFonts w:ascii="Arial" w:hAnsi="Arial" w:cs="Arial"/>
          <w:sz w:val="24"/>
          <w:szCs w:val="24"/>
        </w:rPr>
      </w:pPr>
      <w:r w:rsidRPr="008647DC">
        <w:rPr>
          <w:rFonts w:ascii="Arial" w:hAnsi="Arial" w:cs="Arial"/>
          <w:sz w:val="24"/>
          <w:szCs w:val="24"/>
        </w:rPr>
        <w:t>El proceso es complejo por las diferentes concepciones de desarrollo que tienen los Países Miembros. Este hecho ha incidido en que los Países Miembros busquen pertenecer a esquemas de integración afines a sus ideales políticos y comerciales, en el caso de Bolivia y Ecuador se acercan o buscan hacerse parte de MERCOSUR; en el caso de Colombia y Perú, están integrando la Alianza del Pacífico.  Este escenario ha  planteado un análisis sobre  </w:t>
      </w:r>
      <w:r w:rsidRPr="008647DC">
        <w:rPr>
          <w:rFonts w:ascii="Arial" w:hAnsi="Arial" w:cs="Arial"/>
          <w:sz w:val="24"/>
          <w:szCs w:val="24"/>
          <w:u w:val="single"/>
        </w:rPr>
        <w:t>Multipertenencia,</w:t>
      </w:r>
      <w:r w:rsidRPr="008647DC">
        <w:rPr>
          <w:rFonts w:ascii="Arial" w:hAnsi="Arial" w:cs="Arial"/>
          <w:sz w:val="24"/>
          <w:szCs w:val="24"/>
        </w:rPr>
        <w:t xml:space="preserve"> es decir, poder pertenecer a más de un esquema regional de integración, con los efectos e impactos jurídicos y comerciales que ello genera, así como sobre el proceso de </w:t>
      </w:r>
      <w:r w:rsidRPr="008647DC">
        <w:rPr>
          <w:rFonts w:ascii="Arial" w:hAnsi="Arial" w:cs="Arial"/>
          <w:sz w:val="24"/>
          <w:szCs w:val="24"/>
          <w:u w:val="single"/>
        </w:rPr>
        <w:t>convergencia</w:t>
      </w:r>
      <w:r w:rsidRPr="008647DC">
        <w:rPr>
          <w:rFonts w:ascii="Arial" w:hAnsi="Arial" w:cs="Arial"/>
          <w:sz w:val="24"/>
          <w:szCs w:val="24"/>
        </w:rPr>
        <w:t xml:space="preserve"> entre los diferentes esquemas de integración sudamericanos: CAN, MERCOSUR y UNASUR.</w:t>
      </w:r>
    </w:p>
    <w:p w:rsidR="008647DC" w:rsidRPr="008647DC" w:rsidRDefault="008647DC" w:rsidP="008647DC">
      <w:pPr>
        <w:rPr>
          <w:rFonts w:ascii="Arial" w:hAnsi="Arial" w:cs="Arial"/>
          <w:sz w:val="24"/>
          <w:szCs w:val="24"/>
        </w:rPr>
      </w:pPr>
    </w:p>
    <w:p w:rsidR="008647DC" w:rsidRPr="008647DC" w:rsidRDefault="008647DC" w:rsidP="008647DC">
      <w:pPr>
        <w:rPr>
          <w:rFonts w:ascii="Arial" w:hAnsi="Arial" w:cs="Arial"/>
          <w:sz w:val="24"/>
          <w:szCs w:val="24"/>
        </w:rPr>
      </w:pPr>
      <w:r w:rsidRPr="008647DC">
        <w:rPr>
          <w:rFonts w:ascii="Arial" w:hAnsi="Arial" w:cs="Arial"/>
          <w:sz w:val="24"/>
          <w:szCs w:val="24"/>
        </w:rPr>
        <w:t>Estos nuevos elementos hacen parte del análisis que debe conducir a una propuesta innovadora de integración comercial, capaz de atender a las necesidades de evolución e inserción internacional de las economías subregionales.</w:t>
      </w:r>
    </w:p>
    <w:p w:rsidR="008647DC" w:rsidRPr="008647DC" w:rsidRDefault="008647DC" w:rsidP="008647DC">
      <w:pPr>
        <w:pStyle w:val="Prrafodelista"/>
        <w:ind w:left="360"/>
        <w:rPr>
          <w:rFonts w:ascii="Arial" w:hAnsi="Arial" w:cs="Arial"/>
          <w:sz w:val="24"/>
          <w:szCs w:val="24"/>
        </w:rPr>
      </w:pPr>
    </w:p>
    <w:p w:rsidR="008647DC" w:rsidRPr="008647DC" w:rsidRDefault="008647DC" w:rsidP="008647DC">
      <w:pPr>
        <w:rPr>
          <w:rFonts w:ascii="Arial" w:hAnsi="Arial" w:cs="Arial"/>
          <w:b/>
          <w:sz w:val="24"/>
          <w:szCs w:val="24"/>
        </w:rPr>
      </w:pPr>
      <w:r w:rsidRPr="008647DC">
        <w:rPr>
          <w:rFonts w:ascii="Arial" w:hAnsi="Arial" w:cs="Arial"/>
          <w:b/>
          <w:sz w:val="24"/>
          <w:szCs w:val="24"/>
        </w:rPr>
        <w:t xml:space="preserve">¿Cuáles han  sido los beneficios de la CAN para Colombia? </w:t>
      </w:r>
    </w:p>
    <w:p w:rsidR="008647DC" w:rsidRPr="008647DC" w:rsidRDefault="008647DC" w:rsidP="008647DC">
      <w:pPr>
        <w:rPr>
          <w:rFonts w:ascii="Arial" w:hAnsi="Arial" w:cs="Arial"/>
          <w:color w:val="1F497D"/>
          <w:sz w:val="24"/>
          <w:szCs w:val="24"/>
        </w:rPr>
      </w:pPr>
    </w:p>
    <w:p w:rsidR="008647DC" w:rsidRPr="008647DC" w:rsidRDefault="008647DC" w:rsidP="008647DC">
      <w:pPr>
        <w:rPr>
          <w:rFonts w:ascii="Arial" w:hAnsi="Arial" w:cs="Arial"/>
          <w:sz w:val="24"/>
          <w:szCs w:val="24"/>
        </w:rPr>
      </w:pPr>
      <w:r w:rsidRPr="008647DC">
        <w:rPr>
          <w:rFonts w:ascii="Arial" w:hAnsi="Arial" w:cs="Arial"/>
          <w:sz w:val="24"/>
          <w:szCs w:val="24"/>
        </w:rPr>
        <w:t>Se traducen en resultados efectivos de incremento en flujos comerciales, culturales, ambientales, de infraestructura, de movilidad de personas, sanitarios, de comunicación, entre otros que han permitido elevar la calidad de vida de los habitantes de la región.</w:t>
      </w:r>
    </w:p>
    <w:p w:rsidR="008647DC" w:rsidRPr="00A74DC5" w:rsidRDefault="008647DC" w:rsidP="008647DC">
      <w:pPr>
        <w:rPr>
          <w:rFonts w:ascii="Arial" w:hAnsi="Arial" w:cs="Arial"/>
          <w:sz w:val="24"/>
          <w:szCs w:val="24"/>
        </w:rPr>
      </w:pPr>
    </w:p>
    <w:p w:rsidR="00A74DC5" w:rsidRPr="00A74DC5" w:rsidRDefault="00A74DC5" w:rsidP="008647DC">
      <w:pPr>
        <w:rPr>
          <w:rFonts w:ascii="Arial" w:hAnsi="Arial" w:cs="Arial"/>
          <w:b/>
          <w:sz w:val="24"/>
          <w:szCs w:val="24"/>
        </w:rPr>
      </w:pPr>
      <w:r w:rsidRPr="00A74DC5">
        <w:rPr>
          <w:rFonts w:ascii="Arial" w:hAnsi="Arial" w:cs="Arial"/>
          <w:b/>
          <w:sz w:val="24"/>
          <w:szCs w:val="24"/>
        </w:rPr>
        <w:t>Empleo</w:t>
      </w:r>
    </w:p>
    <w:p w:rsidR="00A74DC5" w:rsidRDefault="00A74DC5" w:rsidP="008647DC">
      <w:pPr>
        <w:rPr>
          <w:rFonts w:ascii="Arial" w:hAnsi="Arial" w:cs="Arial"/>
          <w:sz w:val="24"/>
          <w:szCs w:val="24"/>
        </w:rPr>
      </w:pPr>
    </w:p>
    <w:p w:rsidR="00A74DC5" w:rsidRPr="00A74DC5" w:rsidRDefault="00A74DC5" w:rsidP="008647DC">
      <w:pPr>
        <w:rPr>
          <w:rFonts w:ascii="Arial" w:hAnsi="Arial" w:cs="Arial"/>
          <w:sz w:val="24"/>
          <w:szCs w:val="24"/>
        </w:rPr>
      </w:pPr>
      <w:r w:rsidRPr="00A74DC5">
        <w:rPr>
          <w:rFonts w:ascii="Arial" w:hAnsi="Arial" w:cs="Arial"/>
          <w:sz w:val="24"/>
          <w:szCs w:val="24"/>
        </w:rPr>
        <w:t>Empleo generado por las exportaciones colombianas a la CAN en 2012: 241 mil</w:t>
      </w:r>
      <w:r>
        <w:rPr>
          <w:rFonts w:ascii="Arial" w:hAnsi="Arial" w:cs="Arial"/>
          <w:sz w:val="24"/>
          <w:szCs w:val="24"/>
        </w:rPr>
        <w:t xml:space="preserve"> (cálculo de los Asesores CSCE).</w:t>
      </w:r>
    </w:p>
    <w:p w:rsidR="00A74DC5" w:rsidRPr="008647DC" w:rsidRDefault="00A74DC5" w:rsidP="008647DC">
      <w:pPr>
        <w:rPr>
          <w:rFonts w:ascii="Arial" w:hAnsi="Arial" w:cs="Arial"/>
          <w:color w:val="1F497D"/>
          <w:sz w:val="24"/>
          <w:szCs w:val="24"/>
        </w:rPr>
      </w:pPr>
    </w:p>
    <w:p w:rsidR="008647DC" w:rsidRPr="008647DC" w:rsidRDefault="008647DC" w:rsidP="008647DC">
      <w:pPr>
        <w:rPr>
          <w:rFonts w:ascii="Arial" w:hAnsi="Arial" w:cs="Arial"/>
          <w:sz w:val="24"/>
          <w:szCs w:val="24"/>
        </w:rPr>
      </w:pPr>
      <w:r w:rsidRPr="008647DC">
        <w:rPr>
          <w:rFonts w:ascii="Arial" w:hAnsi="Arial" w:cs="Arial"/>
          <w:b/>
          <w:sz w:val="24"/>
          <w:szCs w:val="24"/>
        </w:rPr>
        <w:t>En materia Comercial</w:t>
      </w:r>
      <w:r w:rsidRPr="008647DC">
        <w:rPr>
          <w:rFonts w:ascii="Arial" w:hAnsi="Arial" w:cs="Arial"/>
          <w:sz w:val="24"/>
          <w:szCs w:val="24"/>
        </w:rPr>
        <w:t>:</w:t>
      </w:r>
    </w:p>
    <w:p w:rsidR="008647DC" w:rsidRPr="008647DC" w:rsidRDefault="008647DC" w:rsidP="008647DC">
      <w:pPr>
        <w:rPr>
          <w:rFonts w:ascii="Arial" w:hAnsi="Arial" w:cs="Arial"/>
          <w:color w:val="1F497D"/>
          <w:sz w:val="24"/>
          <w:szCs w:val="24"/>
        </w:rPr>
      </w:pPr>
    </w:p>
    <w:p w:rsidR="008647DC" w:rsidRPr="008647DC" w:rsidRDefault="008647DC" w:rsidP="008647DC">
      <w:pPr>
        <w:pStyle w:val="Prrafodelista"/>
        <w:numPr>
          <w:ilvl w:val="0"/>
          <w:numId w:val="2"/>
        </w:numPr>
        <w:rPr>
          <w:rFonts w:ascii="Arial" w:hAnsi="Arial" w:cs="Arial"/>
          <w:sz w:val="24"/>
          <w:szCs w:val="24"/>
        </w:rPr>
      </w:pPr>
      <w:r w:rsidRPr="008647DC">
        <w:rPr>
          <w:rFonts w:ascii="Arial" w:hAnsi="Arial" w:cs="Arial"/>
          <w:sz w:val="24"/>
          <w:szCs w:val="24"/>
        </w:rPr>
        <w:t>La balanza comercial tradicionalmente ha sido superavitaria en favor de Colombia y en el año 2012 registró un superávit de USD 1.555 millones (24% más que el año anterior), con exportaciones por valor de USD 3.741 millones (9% más que el año anterior), e importaciones por USD 2.186 millones (0.1% menos que el año anterior).</w:t>
      </w:r>
    </w:p>
    <w:p w:rsidR="008647DC" w:rsidRPr="008647DC" w:rsidRDefault="008647DC" w:rsidP="008647DC">
      <w:pPr>
        <w:pStyle w:val="Prrafodelista"/>
        <w:rPr>
          <w:rFonts w:ascii="Arial" w:hAnsi="Arial" w:cs="Arial"/>
          <w:sz w:val="24"/>
          <w:szCs w:val="24"/>
        </w:rPr>
      </w:pPr>
    </w:p>
    <w:p w:rsidR="008647DC" w:rsidRPr="008647DC" w:rsidRDefault="008647DC" w:rsidP="008647DC">
      <w:pPr>
        <w:pStyle w:val="Prrafodelista"/>
        <w:numPr>
          <w:ilvl w:val="0"/>
          <w:numId w:val="2"/>
        </w:numPr>
        <w:rPr>
          <w:rFonts w:ascii="Arial" w:hAnsi="Arial" w:cs="Arial"/>
          <w:sz w:val="24"/>
          <w:szCs w:val="24"/>
        </w:rPr>
      </w:pPr>
      <w:r w:rsidRPr="008647DC">
        <w:rPr>
          <w:rFonts w:ascii="Arial" w:hAnsi="Arial" w:cs="Arial"/>
          <w:sz w:val="24"/>
          <w:szCs w:val="24"/>
        </w:rPr>
        <w:lastRenderedPageBreak/>
        <w:t>El comercio de Colombia con los países de la CAN ha mantenido un ritmo sostenido de crecimiento en los últimos 10 años, con una tasa promedio de 14% anual, presentando sus más altos montos de la historia comercial en el 2011 (USD 5.635 millones) y en el 2012 (USD 5.926 millones), con tasas de crecimiento del 15% y del 5%, respectivamente. Tan solo las exportaciones crecieron 201% entre los años 2003 y 2012.</w:t>
      </w:r>
    </w:p>
    <w:p w:rsidR="008647DC" w:rsidRPr="008647DC" w:rsidRDefault="008647DC" w:rsidP="008647DC">
      <w:pPr>
        <w:contextualSpacing/>
        <w:rPr>
          <w:rFonts w:ascii="Arial" w:hAnsi="Arial" w:cs="Arial"/>
          <w:sz w:val="24"/>
          <w:szCs w:val="24"/>
        </w:rPr>
      </w:pPr>
    </w:p>
    <w:p w:rsidR="008647DC" w:rsidRPr="008647DC" w:rsidRDefault="008647DC" w:rsidP="008647DC">
      <w:pPr>
        <w:pStyle w:val="Prrafodelista"/>
        <w:numPr>
          <w:ilvl w:val="0"/>
          <w:numId w:val="2"/>
        </w:numPr>
        <w:spacing w:after="200" w:line="276" w:lineRule="auto"/>
        <w:contextualSpacing w:val="0"/>
        <w:rPr>
          <w:rFonts w:ascii="Arial" w:hAnsi="Arial" w:cs="Arial"/>
          <w:sz w:val="24"/>
          <w:szCs w:val="24"/>
        </w:rPr>
      </w:pPr>
      <w:r w:rsidRPr="008647DC">
        <w:rPr>
          <w:rFonts w:ascii="Arial" w:hAnsi="Arial" w:cs="Arial"/>
          <w:sz w:val="24"/>
          <w:szCs w:val="24"/>
        </w:rPr>
        <w:t xml:space="preserve">Las exportaciones de Colombia a la CAN en el 2012, son el 6% del total exportado por Colombia al mundo convirtiendo a la CAN en el segundo destino después de Estados Unidos. En relación con las importaciones, la CAN es el 4% del total importado por Colombia del mundo y ocupa la sexta posición dentro de los países a los cuales Colombia le compra mercancías después de Estados Unidos, China, México, Brasil y Alemania. </w:t>
      </w:r>
    </w:p>
    <w:p w:rsidR="008647DC" w:rsidRPr="008647DC" w:rsidRDefault="008647DC" w:rsidP="008647DC">
      <w:pPr>
        <w:pStyle w:val="Prrafodelista"/>
        <w:numPr>
          <w:ilvl w:val="0"/>
          <w:numId w:val="2"/>
        </w:numPr>
        <w:spacing w:after="200" w:line="276" w:lineRule="auto"/>
        <w:contextualSpacing w:val="0"/>
        <w:rPr>
          <w:rFonts w:ascii="Arial" w:hAnsi="Arial" w:cs="Arial"/>
          <w:sz w:val="24"/>
          <w:szCs w:val="24"/>
        </w:rPr>
      </w:pPr>
      <w:r w:rsidRPr="008647DC">
        <w:rPr>
          <w:rFonts w:ascii="Arial" w:hAnsi="Arial" w:cs="Arial"/>
          <w:sz w:val="24"/>
          <w:szCs w:val="24"/>
        </w:rPr>
        <w:t>Colombia es consciente del potencial que tiene en el mercado andino: es el destino de una mayor diversidad de productos de exportación con mayor intensidad de valor agregado. A este mercado, Colombia exporta bienes manufacturados y terminados como: productos químicos, alimentos, automóviles, cosméticos, productos de aseo, textiles y confecciones, electrodomésticos y aparatos, equipos y máquinas de procesamiento industrial, entre muchos otros.</w:t>
      </w:r>
    </w:p>
    <w:p w:rsidR="008647DC" w:rsidRPr="008647DC" w:rsidRDefault="008647DC" w:rsidP="008647DC">
      <w:pPr>
        <w:pStyle w:val="Prrafodelista"/>
        <w:numPr>
          <w:ilvl w:val="0"/>
          <w:numId w:val="2"/>
        </w:numPr>
        <w:spacing w:after="200" w:line="276" w:lineRule="auto"/>
        <w:contextualSpacing w:val="0"/>
        <w:rPr>
          <w:rFonts w:ascii="Arial" w:hAnsi="Arial" w:cs="Arial"/>
          <w:sz w:val="24"/>
          <w:szCs w:val="24"/>
        </w:rPr>
      </w:pPr>
      <w:r w:rsidRPr="008647DC">
        <w:rPr>
          <w:rFonts w:ascii="Arial" w:hAnsi="Arial" w:cs="Arial"/>
          <w:sz w:val="24"/>
          <w:szCs w:val="24"/>
        </w:rPr>
        <w:t>Los principales productos exportados por Colombia en el año 2012 fueron: Aceites crudos de petróleo (10%), aeronaves (3%), polipropileno (3%), medicamentos para uso humano (3%), azúcar (3%).   Y los principales productos importados: Café sin tostar ni descafeinar (8%), alambre de cobre (8%), vehículos para el transporte de mercancías (6%), aceite de soja en bruto (5%), tortas y aceites de soja (3%).</w:t>
      </w:r>
    </w:p>
    <w:p w:rsidR="008647DC" w:rsidRPr="008647DC" w:rsidRDefault="008647DC" w:rsidP="008647DC">
      <w:pPr>
        <w:contextualSpacing/>
        <w:rPr>
          <w:rFonts w:ascii="Arial" w:hAnsi="Arial" w:cs="Arial"/>
          <w:b/>
          <w:sz w:val="24"/>
          <w:szCs w:val="24"/>
        </w:rPr>
      </w:pPr>
      <w:r w:rsidRPr="008647DC">
        <w:rPr>
          <w:rFonts w:ascii="Arial" w:hAnsi="Arial" w:cs="Arial"/>
          <w:b/>
          <w:sz w:val="24"/>
          <w:szCs w:val="24"/>
        </w:rPr>
        <w:t>Inversión</w:t>
      </w:r>
    </w:p>
    <w:p w:rsidR="008647DC" w:rsidRPr="008647DC" w:rsidRDefault="008647DC" w:rsidP="008647DC">
      <w:pPr>
        <w:rPr>
          <w:rFonts w:ascii="Arial" w:hAnsi="Arial" w:cs="Arial"/>
          <w:sz w:val="24"/>
          <w:szCs w:val="24"/>
        </w:rPr>
      </w:pPr>
      <w:r w:rsidRPr="008647DC">
        <w:rPr>
          <w:rFonts w:ascii="Arial" w:hAnsi="Arial" w:cs="Arial"/>
          <w:sz w:val="24"/>
          <w:szCs w:val="24"/>
        </w:rPr>
        <w:t xml:space="preserve"> </w:t>
      </w:r>
    </w:p>
    <w:p w:rsidR="008647DC" w:rsidRPr="008647DC" w:rsidRDefault="008647DC" w:rsidP="008647DC">
      <w:pPr>
        <w:rPr>
          <w:rFonts w:ascii="Arial" w:hAnsi="Arial" w:cs="Arial"/>
          <w:sz w:val="24"/>
          <w:szCs w:val="24"/>
        </w:rPr>
      </w:pPr>
      <w:r w:rsidRPr="008647DC">
        <w:rPr>
          <w:rFonts w:ascii="Arial" w:hAnsi="Arial" w:cs="Arial"/>
          <w:sz w:val="24"/>
          <w:szCs w:val="24"/>
        </w:rPr>
        <w:t xml:space="preserve">La Inversión Extranjera Directa (IED) de la CAN  en Colombia durante el año 2011 ascendió a 38.9 millones de dólares, para un acumulado de USD 340.7 millones (de 2003 a 2011). El principal país de la CAN que invierte en Colombia es Perú.  </w:t>
      </w:r>
      <w:r w:rsidRPr="008647DC">
        <w:rPr>
          <w:rFonts w:ascii="Arial" w:hAnsi="Arial" w:cs="Arial"/>
          <w:sz w:val="24"/>
          <w:szCs w:val="24"/>
          <w:u w:val="single"/>
        </w:rPr>
        <w:t>A septiembre de 2012</w:t>
      </w:r>
      <w:r w:rsidRPr="008647DC">
        <w:rPr>
          <w:rFonts w:ascii="Arial" w:hAnsi="Arial" w:cs="Arial"/>
          <w:sz w:val="24"/>
          <w:szCs w:val="24"/>
        </w:rPr>
        <w:t xml:space="preserve"> se registra inversión por USD 120,5 millones.</w:t>
      </w:r>
    </w:p>
    <w:p w:rsidR="008647DC" w:rsidRPr="008647DC" w:rsidRDefault="008647DC" w:rsidP="008647DC">
      <w:pPr>
        <w:rPr>
          <w:rFonts w:ascii="Arial" w:hAnsi="Arial" w:cs="Arial"/>
          <w:sz w:val="24"/>
          <w:szCs w:val="24"/>
        </w:rPr>
      </w:pPr>
      <w:r w:rsidRPr="008647DC">
        <w:rPr>
          <w:rFonts w:ascii="Arial" w:hAnsi="Arial" w:cs="Arial"/>
          <w:sz w:val="24"/>
          <w:szCs w:val="24"/>
        </w:rPr>
        <w:t xml:space="preserve"> </w:t>
      </w:r>
    </w:p>
    <w:p w:rsidR="008647DC" w:rsidRPr="008647DC" w:rsidRDefault="008647DC" w:rsidP="008647DC">
      <w:pPr>
        <w:rPr>
          <w:rFonts w:ascii="Arial" w:hAnsi="Arial" w:cs="Arial"/>
          <w:sz w:val="24"/>
          <w:szCs w:val="24"/>
        </w:rPr>
      </w:pPr>
      <w:r w:rsidRPr="008647DC">
        <w:rPr>
          <w:rFonts w:ascii="Arial" w:hAnsi="Arial" w:cs="Arial"/>
          <w:sz w:val="24"/>
          <w:szCs w:val="24"/>
        </w:rPr>
        <w:t>La Inversión Directa (ID) de Colombia en la CAN durante el año 2011 ascendió a 771 millones de dólares, para un acumulado de USD 2.311 millones (de 2003 a 2011). El país de la CAN en el cual Colombia efectúa mayor inversión es Perú.</w:t>
      </w:r>
    </w:p>
    <w:p w:rsidR="008647DC" w:rsidRPr="008647DC" w:rsidRDefault="008647DC" w:rsidP="008647DC">
      <w:pPr>
        <w:rPr>
          <w:rFonts w:ascii="Arial" w:hAnsi="Arial" w:cs="Arial"/>
          <w:sz w:val="24"/>
          <w:szCs w:val="24"/>
        </w:rPr>
      </w:pPr>
    </w:p>
    <w:p w:rsidR="008647DC" w:rsidRPr="008647DC" w:rsidRDefault="008647DC" w:rsidP="008647DC">
      <w:pPr>
        <w:contextualSpacing/>
        <w:rPr>
          <w:rFonts w:ascii="Arial" w:hAnsi="Arial" w:cs="Arial"/>
          <w:b/>
          <w:sz w:val="24"/>
          <w:szCs w:val="24"/>
        </w:rPr>
      </w:pPr>
      <w:r w:rsidRPr="008647DC">
        <w:rPr>
          <w:rFonts w:ascii="Arial" w:hAnsi="Arial" w:cs="Arial"/>
          <w:b/>
          <w:sz w:val="24"/>
          <w:szCs w:val="24"/>
        </w:rPr>
        <w:t>Turismo</w:t>
      </w:r>
    </w:p>
    <w:p w:rsidR="008647DC" w:rsidRPr="008647DC" w:rsidRDefault="008647DC" w:rsidP="008647DC">
      <w:pPr>
        <w:rPr>
          <w:rFonts w:ascii="Arial" w:hAnsi="Arial" w:cs="Arial"/>
          <w:sz w:val="24"/>
          <w:szCs w:val="24"/>
        </w:rPr>
      </w:pPr>
    </w:p>
    <w:p w:rsidR="008647DC" w:rsidRPr="008647DC" w:rsidRDefault="008647DC" w:rsidP="008647DC">
      <w:pPr>
        <w:rPr>
          <w:rFonts w:ascii="Arial" w:hAnsi="Arial" w:cs="Arial"/>
          <w:sz w:val="24"/>
          <w:szCs w:val="24"/>
        </w:rPr>
      </w:pPr>
      <w:r w:rsidRPr="008647DC">
        <w:rPr>
          <w:rFonts w:ascii="Arial" w:hAnsi="Arial" w:cs="Arial"/>
          <w:sz w:val="24"/>
          <w:szCs w:val="24"/>
        </w:rPr>
        <w:lastRenderedPageBreak/>
        <w:t xml:space="preserve">En el 2012, se registró un ingreso de 199.330 turistas de la CAN en Colombia (11% más que en el 2011), a su vez 393.501 viajeros colombianos  eligieron como destino turístico alguno de los países de la CAN (18% más que el año anterior). </w:t>
      </w:r>
    </w:p>
    <w:p w:rsidR="008647DC" w:rsidRPr="008647DC" w:rsidRDefault="008647DC" w:rsidP="008647DC">
      <w:pPr>
        <w:rPr>
          <w:rFonts w:ascii="Arial" w:hAnsi="Arial" w:cs="Arial"/>
          <w:sz w:val="24"/>
          <w:szCs w:val="24"/>
        </w:rPr>
      </w:pPr>
    </w:p>
    <w:p w:rsidR="008647DC" w:rsidRPr="008647DC" w:rsidRDefault="008647DC" w:rsidP="008647DC">
      <w:pPr>
        <w:contextualSpacing/>
        <w:rPr>
          <w:rFonts w:ascii="Arial" w:hAnsi="Arial" w:cs="Arial"/>
          <w:sz w:val="24"/>
          <w:szCs w:val="24"/>
        </w:rPr>
      </w:pPr>
      <w:r w:rsidRPr="008647DC">
        <w:rPr>
          <w:rFonts w:ascii="Arial" w:hAnsi="Arial" w:cs="Arial"/>
          <w:b/>
          <w:sz w:val="24"/>
          <w:szCs w:val="24"/>
        </w:rPr>
        <w:t>Otros temas</w:t>
      </w:r>
    </w:p>
    <w:p w:rsidR="008647DC" w:rsidRPr="008647DC" w:rsidRDefault="008647DC" w:rsidP="008647DC">
      <w:pPr>
        <w:rPr>
          <w:rFonts w:ascii="Arial" w:hAnsi="Arial" w:cs="Arial"/>
          <w:sz w:val="24"/>
          <w:szCs w:val="24"/>
        </w:rPr>
      </w:pPr>
    </w:p>
    <w:p w:rsidR="008647DC" w:rsidRPr="008647DC" w:rsidRDefault="008647DC" w:rsidP="008647DC">
      <w:pPr>
        <w:rPr>
          <w:rFonts w:ascii="Arial" w:hAnsi="Arial" w:cs="Arial"/>
          <w:sz w:val="24"/>
          <w:szCs w:val="24"/>
        </w:rPr>
      </w:pPr>
      <w:r w:rsidRPr="008647DC">
        <w:rPr>
          <w:rFonts w:ascii="Arial" w:hAnsi="Arial" w:cs="Arial"/>
          <w:sz w:val="24"/>
          <w:szCs w:val="24"/>
        </w:rPr>
        <w:t>Adicionalmente se trabaja en diferentes actividades de promoción conjunta (encuentro empresarial andino previsto para finales de abril en Bogotá, participación conjunta en la Feria FHC de Shangai 2013, entre otras), así como se cuenta con un amplio desarrollo normativo e institucional en facilitación del comercio en materia de aduanas, armonización en temas de sistema andino de calidad, sanidad agropecuaria, defensa comercial, complementación económica, liberalización de servicios, propiedad intelectual, competencia, desarrollo del turismo, integración y desarrollo  fronterizo e integración energética, principalmente.</w:t>
      </w:r>
    </w:p>
    <w:p w:rsidR="008647DC" w:rsidRPr="008647DC" w:rsidRDefault="008647DC" w:rsidP="008647DC">
      <w:pPr>
        <w:rPr>
          <w:rFonts w:ascii="Arial" w:hAnsi="Arial" w:cs="Arial"/>
          <w:sz w:val="24"/>
          <w:szCs w:val="24"/>
        </w:rPr>
      </w:pPr>
    </w:p>
    <w:p w:rsidR="008647DC" w:rsidRPr="008647DC" w:rsidRDefault="008647DC" w:rsidP="008647DC">
      <w:pPr>
        <w:rPr>
          <w:rFonts w:ascii="Arial" w:hAnsi="Arial" w:cs="Arial"/>
          <w:sz w:val="24"/>
          <w:szCs w:val="24"/>
        </w:rPr>
      </w:pPr>
    </w:p>
    <w:p w:rsidR="008647DC" w:rsidRPr="008647DC" w:rsidRDefault="008647DC" w:rsidP="00CB4D8C">
      <w:pPr>
        <w:spacing w:line="360" w:lineRule="auto"/>
        <w:rPr>
          <w:rFonts w:ascii="Arial" w:hAnsi="Arial" w:cs="Arial"/>
          <w:sz w:val="24"/>
          <w:szCs w:val="24"/>
          <w:lang w:val="es-MX"/>
        </w:rPr>
      </w:pPr>
    </w:p>
    <w:sectPr w:rsidR="008647DC" w:rsidRPr="008647DC">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10" w:rsidRDefault="00E06810" w:rsidP="00CB4D8C">
      <w:r>
        <w:separator/>
      </w:r>
    </w:p>
  </w:endnote>
  <w:endnote w:type="continuationSeparator" w:id="0">
    <w:p w:rsidR="00E06810" w:rsidRDefault="00E06810" w:rsidP="00CB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337257"/>
      <w:docPartObj>
        <w:docPartGallery w:val="Page Numbers (Bottom of Page)"/>
        <w:docPartUnique/>
      </w:docPartObj>
    </w:sdtPr>
    <w:sdtContent>
      <w:p w:rsidR="00CB4D8C" w:rsidRDefault="00CB4D8C">
        <w:pPr>
          <w:pStyle w:val="Piedepgina"/>
          <w:jc w:val="right"/>
        </w:pPr>
        <w:r>
          <w:fldChar w:fldCharType="begin"/>
        </w:r>
        <w:r>
          <w:instrText>PAGE   \* MERGEFORMAT</w:instrText>
        </w:r>
        <w:r>
          <w:fldChar w:fldCharType="separate"/>
        </w:r>
        <w:r w:rsidR="0021075D" w:rsidRPr="0021075D">
          <w:rPr>
            <w:noProof/>
            <w:lang w:val="es-ES"/>
          </w:rPr>
          <w:t>11</w:t>
        </w:r>
        <w:r>
          <w:fldChar w:fldCharType="end"/>
        </w:r>
      </w:p>
    </w:sdtContent>
  </w:sdt>
  <w:p w:rsidR="00CB4D8C" w:rsidRDefault="00CB4D8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10" w:rsidRDefault="00E06810" w:rsidP="00CB4D8C">
      <w:r>
        <w:separator/>
      </w:r>
    </w:p>
  </w:footnote>
  <w:footnote w:type="continuationSeparator" w:id="0">
    <w:p w:rsidR="00E06810" w:rsidRDefault="00E06810" w:rsidP="00CB4D8C">
      <w:r>
        <w:continuationSeparator/>
      </w:r>
    </w:p>
  </w:footnote>
  <w:footnote w:id="1">
    <w:p w:rsidR="00E276F7" w:rsidRPr="005E4D0C" w:rsidRDefault="00E276F7" w:rsidP="00E276F7">
      <w:pPr>
        <w:pStyle w:val="Textonotapie"/>
        <w:rPr>
          <w:lang w:val="es-MX"/>
        </w:rPr>
      </w:pPr>
      <w:r>
        <w:rPr>
          <w:rStyle w:val="Refdenotaalpie"/>
        </w:rPr>
        <w:footnoteRef/>
      </w:r>
      <w:r>
        <w:t xml:space="preserve"> </w:t>
      </w:r>
      <w:r>
        <w:rPr>
          <w:lang w:val="es-MX"/>
        </w:rPr>
        <w:t>Tomado de DIRECON, Enero de 2013</w:t>
      </w:r>
    </w:p>
  </w:footnote>
  <w:footnote w:id="2">
    <w:p w:rsidR="00E276F7" w:rsidRPr="00A843A5" w:rsidRDefault="00E276F7" w:rsidP="00E276F7">
      <w:pPr>
        <w:pStyle w:val="Textonotapie"/>
        <w:rPr>
          <w:lang w:val="es-MX"/>
        </w:rPr>
      </w:pPr>
      <w:r>
        <w:rPr>
          <w:rStyle w:val="Refdenotaalpie"/>
        </w:rPr>
        <w:footnoteRef/>
      </w:r>
      <w:r>
        <w:t xml:space="preserve"> </w:t>
      </w:r>
      <w:r>
        <w:rPr>
          <w:lang w:val="es-MX"/>
        </w:rPr>
        <w:t>Tomado del Mincetur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4106"/>
    <w:multiLevelType w:val="hybridMultilevel"/>
    <w:tmpl w:val="0F0CA398"/>
    <w:lvl w:ilvl="0" w:tplc="10B8E2EC">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562E5AF3"/>
    <w:multiLevelType w:val="hybridMultilevel"/>
    <w:tmpl w:val="99E437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D8C"/>
    <w:rsid w:val="00105E0D"/>
    <w:rsid w:val="0021075D"/>
    <w:rsid w:val="0040578A"/>
    <w:rsid w:val="00504E19"/>
    <w:rsid w:val="00677D90"/>
    <w:rsid w:val="006D51EC"/>
    <w:rsid w:val="00704CE0"/>
    <w:rsid w:val="00754C0D"/>
    <w:rsid w:val="008647DC"/>
    <w:rsid w:val="00930AE7"/>
    <w:rsid w:val="00950300"/>
    <w:rsid w:val="00A74DC5"/>
    <w:rsid w:val="00AE0782"/>
    <w:rsid w:val="00CB4D8C"/>
    <w:rsid w:val="00D94D1F"/>
    <w:rsid w:val="00DB34B6"/>
    <w:rsid w:val="00E06810"/>
    <w:rsid w:val="00E276F7"/>
    <w:rsid w:val="00E363FC"/>
    <w:rsid w:val="00FE3E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4D8C"/>
    <w:pPr>
      <w:tabs>
        <w:tab w:val="center" w:pos="4419"/>
        <w:tab w:val="right" w:pos="8838"/>
      </w:tabs>
    </w:pPr>
  </w:style>
  <w:style w:type="character" w:customStyle="1" w:styleId="EncabezadoCar">
    <w:name w:val="Encabezado Car"/>
    <w:basedOn w:val="Fuentedeprrafopredeter"/>
    <w:link w:val="Encabezado"/>
    <w:uiPriority w:val="99"/>
    <w:rsid w:val="00CB4D8C"/>
  </w:style>
  <w:style w:type="paragraph" w:styleId="Piedepgina">
    <w:name w:val="footer"/>
    <w:basedOn w:val="Normal"/>
    <w:link w:val="PiedepginaCar"/>
    <w:uiPriority w:val="99"/>
    <w:unhideWhenUsed/>
    <w:rsid w:val="00CB4D8C"/>
    <w:pPr>
      <w:tabs>
        <w:tab w:val="center" w:pos="4419"/>
        <w:tab w:val="right" w:pos="8838"/>
      </w:tabs>
    </w:pPr>
  </w:style>
  <w:style w:type="character" w:customStyle="1" w:styleId="PiedepginaCar">
    <w:name w:val="Pie de página Car"/>
    <w:basedOn w:val="Fuentedeprrafopredeter"/>
    <w:link w:val="Piedepgina"/>
    <w:uiPriority w:val="99"/>
    <w:rsid w:val="00CB4D8C"/>
  </w:style>
  <w:style w:type="paragraph" w:styleId="Prrafodelista">
    <w:name w:val="List Paragraph"/>
    <w:basedOn w:val="Normal"/>
    <w:uiPriority w:val="34"/>
    <w:qFormat/>
    <w:rsid w:val="00FE3E35"/>
    <w:pPr>
      <w:ind w:left="720"/>
      <w:contextualSpacing/>
    </w:pPr>
  </w:style>
  <w:style w:type="paragraph" w:styleId="NormalWeb">
    <w:name w:val="Normal (Web)"/>
    <w:basedOn w:val="Normal"/>
    <w:uiPriority w:val="99"/>
    <w:semiHidden/>
    <w:unhideWhenUsed/>
    <w:rsid w:val="00504E19"/>
    <w:pPr>
      <w:spacing w:before="100" w:beforeAutospacing="1" w:after="100" w:afterAutospacing="1"/>
      <w:jc w:val="left"/>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105E0D"/>
    <w:rPr>
      <w:rFonts w:ascii="Tahoma" w:hAnsi="Tahoma" w:cs="Tahoma"/>
      <w:sz w:val="16"/>
      <w:szCs w:val="16"/>
    </w:rPr>
  </w:style>
  <w:style w:type="character" w:customStyle="1" w:styleId="TextodegloboCar">
    <w:name w:val="Texto de globo Car"/>
    <w:basedOn w:val="Fuentedeprrafopredeter"/>
    <w:link w:val="Textodeglobo"/>
    <w:uiPriority w:val="99"/>
    <w:semiHidden/>
    <w:rsid w:val="00105E0D"/>
    <w:rPr>
      <w:rFonts w:ascii="Tahoma" w:hAnsi="Tahoma" w:cs="Tahoma"/>
      <w:sz w:val="16"/>
      <w:szCs w:val="16"/>
    </w:rPr>
  </w:style>
  <w:style w:type="paragraph" w:styleId="Textonotapie">
    <w:name w:val="footnote text"/>
    <w:basedOn w:val="Normal"/>
    <w:link w:val="TextonotapieCar"/>
    <w:semiHidden/>
    <w:unhideWhenUsed/>
    <w:rsid w:val="00E276F7"/>
    <w:pPr>
      <w:jc w:val="left"/>
    </w:pPr>
    <w:rPr>
      <w:rFonts w:ascii="Calibri" w:eastAsia="Calibri" w:hAnsi="Calibri" w:cs="Times New Roman"/>
      <w:sz w:val="20"/>
      <w:szCs w:val="20"/>
      <w:lang w:val="es-ES"/>
    </w:rPr>
  </w:style>
  <w:style w:type="character" w:customStyle="1" w:styleId="TextonotapieCar">
    <w:name w:val="Texto nota pie Car"/>
    <w:basedOn w:val="Fuentedeprrafopredeter"/>
    <w:link w:val="Textonotapie"/>
    <w:semiHidden/>
    <w:rsid w:val="00E276F7"/>
    <w:rPr>
      <w:rFonts w:ascii="Calibri" w:eastAsia="Calibri" w:hAnsi="Calibri" w:cs="Times New Roman"/>
      <w:sz w:val="20"/>
      <w:szCs w:val="20"/>
      <w:lang w:val="es-ES"/>
    </w:rPr>
  </w:style>
  <w:style w:type="character" w:styleId="Refdenotaalpie">
    <w:name w:val="footnote reference"/>
    <w:basedOn w:val="Fuentedeprrafopredeter"/>
    <w:semiHidden/>
    <w:unhideWhenUsed/>
    <w:rsid w:val="00E276F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4D8C"/>
    <w:pPr>
      <w:tabs>
        <w:tab w:val="center" w:pos="4419"/>
        <w:tab w:val="right" w:pos="8838"/>
      </w:tabs>
    </w:pPr>
  </w:style>
  <w:style w:type="character" w:customStyle="1" w:styleId="EncabezadoCar">
    <w:name w:val="Encabezado Car"/>
    <w:basedOn w:val="Fuentedeprrafopredeter"/>
    <w:link w:val="Encabezado"/>
    <w:uiPriority w:val="99"/>
    <w:rsid w:val="00CB4D8C"/>
  </w:style>
  <w:style w:type="paragraph" w:styleId="Piedepgina">
    <w:name w:val="footer"/>
    <w:basedOn w:val="Normal"/>
    <w:link w:val="PiedepginaCar"/>
    <w:uiPriority w:val="99"/>
    <w:unhideWhenUsed/>
    <w:rsid w:val="00CB4D8C"/>
    <w:pPr>
      <w:tabs>
        <w:tab w:val="center" w:pos="4419"/>
        <w:tab w:val="right" w:pos="8838"/>
      </w:tabs>
    </w:pPr>
  </w:style>
  <w:style w:type="character" w:customStyle="1" w:styleId="PiedepginaCar">
    <w:name w:val="Pie de página Car"/>
    <w:basedOn w:val="Fuentedeprrafopredeter"/>
    <w:link w:val="Piedepgina"/>
    <w:uiPriority w:val="99"/>
    <w:rsid w:val="00CB4D8C"/>
  </w:style>
  <w:style w:type="paragraph" w:styleId="Prrafodelista">
    <w:name w:val="List Paragraph"/>
    <w:basedOn w:val="Normal"/>
    <w:uiPriority w:val="34"/>
    <w:qFormat/>
    <w:rsid w:val="00FE3E35"/>
    <w:pPr>
      <w:ind w:left="720"/>
      <w:contextualSpacing/>
    </w:pPr>
  </w:style>
  <w:style w:type="paragraph" w:styleId="NormalWeb">
    <w:name w:val="Normal (Web)"/>
    <w:basedOn w:val="Normal"/>
    <w:uiPriority w:val="99"/>
    <w:semiHidden/>
    <w:unhideWhenUsed/>
    <w:rsid w:val="00504E19"/>
    <w:pPr>
      <w:spacing w:before="100" w:beforeAutospacing="1" w:after="100" w:afterAutospacing="1"/>
      <w:jc w:val="left"/>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105E0D"/>
    <w:rPr>
      <w:rFonts w:ascii="Tahoma" w:hAnsi="Tahoma" w:cs="Tahoma"/>
      <w:sz w:val="16"/>
      <w:szCs w:val="16"/>
    </w:rPr>
  </w:style>
  <w:style w:type="character" w:customStyle="1" w:styleId="TextodegloboCar">
    <w:name w:val="Texto de globo Car"/>
    <w:basedOn w:val="Fuentedeprrafopredeter"/>
    <w:link w:val="Textodeglobo"/>
    <w:uiPriority w:val="99"/>
    <w:semiHidden/>
    <w:rsid w:val="00105E0D"/>
    <w:rPr>
      <w:rFonts w:ascii="Tahoma" w:hAnsi="Tahoma" w:cs="Tahoma"/>
      <w:sz w:val="16"/>
      <w:szCs w:val="16"/>
    </w:rPr>
  </w:style>
  <w:style w:type="paragraph" w:styleId="Textonotapie">
    <w:name w:val="footnote text"/>
    <w:basedOn w:val="Normal"/>
    <w:link w:val="TextonotapieCar"/>
    <w:semiHidden/>
    <w:unhideWhenUsed/>
    <w:rsid w:val="00E276F7"/>
    <w:pPr>
      <w:jc w:val="left"/>
    </w:pPr>
    <w:rPr>
      <w:rFonts w:ascii="Calibri" w:eastAsia="Calibri" w:hAnsi="Calibri" w:cs="Times New Roman"/>
      <w:sz w:val="20"/>
      <w:szCs w:val="20"/>
      <w:lang w:val="es-ES"/>
    </w:rPr>
  </w:style>
  <w:style w:type="character" w:customStyle="1" w:styleId="TextonotapieCar">
    <w:name w:val="Texto nota pie Car"/>
    <w:basedOn w:val="Fuentedeprrafopredeter"/>
    <w:link w:val="Textonotapie"/>
    <w:semiHidden/>
    <w:rsid w:val="00E276F7"/>
    <w:rPr>
      <w:rFonts w:ascii="Calibri" w:eastAsia="Calibri" w:hAnsi="Calibri" w:cs="Times New Roman"/>
      <w:sz w:val="20"/>
      <w:szCs w:val="20"/>
      <w:lang w:val="es-ES"/>
    </w:rPr>
  </w:style>
  <w:style w:type="character" w:styleId="Refdenotaalpie">
    <w:name w:val="footnote reference"/>
    <w:basedOn w:val="Fuentedeprrafopredeter"/>
    <w:semiHidden/>
    <w:unhideWhenUsed/>
    <w:rsid w:val="00E276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468052">
      <w:bodyDiv w:val="1"/>
      <w:marLeft w:val="0"/>
      <w:marRight w:val="0"/>
      <w:marTop w:val="0"/>
      <w:marBottom w:val="0"/>
      <w:divBdr>
        <w:top w:val="none" w:sz="0" w:space="0" w:color="auto"/>
        <w:left w:val="none" w:sz="0" w:space="0" w:color="auto"/>
        <w:bottom w:val="none" w:sz="0" w:space="0" w:color="auto"/>
        <w:right w:val="none" w:sz="0" w:space="0" w:color="auto"/>
      </w:divBdr>
    </w:div>
    <w:div w:id="434639552">
      <w:bodyDiv w:val="1"/>
      <w:marLeft w:val="0"/>
      <w:marRight w:val="0"/>
      <w:marTop w:val="0"/>
      <w:marBottom w:val="0"/>
      <w:divBdr>
        <w:top w:val="none" w:sz="0" w:space="0" w:color="auto"/>
        <w:left w:val="none" w:sz="0" w:space="0" w:color="auto"/>
        <w:bottom w:val="none" w:sz="0" w:space="0" w:color="auto"/>
        <w:right w:val="none" w:sz="0" w:space="0" w:color="auto"/>
      </w:divBdr>
    </w:div>
    <w:div w:id="460000738">
      <w:bodyDiv w:val="1"/>
      <w:marLeft w:val="0"/>
      <w:marRight w:val="0"/>
      <w:marTop w:val="0"/>
      <w:marBottom w:val="0"/>
      <w:divBdr>
        <w:top w:val="none" w:sz="0" w:space="0" w:color="auto"/>
        <w:left w:val="none" w:sz="0" w:space="0" w:color="auto"/>
        <w:bottom w:val="none" w:sz="0" w:space="0" w:color="auto"/>
        <w:right w:val="none" w:sz="0" w:space="0" w:color="auto"/>
      </w:divBdr>
    </w:div>
    <w:div w:id="100285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22</Pages>
  <Words>4574</Words>
  <Characters>25161</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Avendaño Cruz</dc:creator>
  <cp:lastModifiedBy>Hernan Avendaño Cruz</cp:lastModifiedBy>
  <cp:revision>9</cp:revision>
  <dcterms:created xsi:type="dcterms:W3CDTF">2013-04-03T13:50:00Z</dcterms:created>
  <dcterms:modified xsi:type="dcterms:W3CDTF">2013-04-03T15:53:00Z</dcterms:modified>
</cp:coreProperties>
</file>